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4A0" w:firstRow="1" w:lastRow="0" w:firstColumn="1" w:lastColumn="0" w:noHBand="0" w:noVBand="1"/>
      </w:tblPr>
      <w:tblGrid>
        <w:gridCol w:w="2254"/>
        <w:gridCol w:w="6746"/>
      </w:tblGrid>
      <w:tr w:rsidR="00807083" w14:paraId="42FAE25F" w14:textId="77777777">
        <w:tblPrEx>
          <w:tblCellMar>
            <w:top w:w="0" w:type="dxa"/>
            <w:bottom w:w="0" w:type="dxa"/>
          </w:tblCellMar>
        </w:tblPrEx>
        <w:trPr>
          <w:tblCellSpacing w:w="60" w:type="dxa"/>
        </w:trPr>
        <w:tc>
          <w:tcPr>
            <w:tcW w:w="1200" w:type="pct"/>
            <w:shd w:val="clear" w:color="auto" w:fill="E7F0F9"/>
          </w:tcPr>
          <w:p w14:paraId="0ED4AFBB" w14:textId="77777777" w:rsidR="00807083" w:rsidRDefault="008A23A1">
            <w:pPr>
              <w:spacing w:after="0" w:line="240" w:lineRule="auto"/>
            </w:pPr>
            <w:r>
              <w:rPr>
                <w:b/>
              </w:rPr>
              <w:t>RKP broj</w:t>
            </w:r>
          </w:p>
        </w:tc>
        <w:tc>
          <w:tcPr>
            <w:tcW w:w="0" w:type="auto"/>
            <w:shd w:val="clear" w:color="auto" w:fill="E7F0F9"/>
          </w:tcPr>
          <w:p w14:paraId="10666344" w14:textId="77777777" w:rsidR="00807083" w:rsidRDefault="008A23A1">
            <w:pPr>
              <w:spacing w:after="0" w:line="240" w:lineRule="auto"/>
            </w:pPr>
            <w:r>
              <w:t>21852</w:t>
            </w:r>
          </w:p>
        </w:tc>
      </w:tr>
      <w:tr w:rsidR="00807083" w14:paraId="2BD786F7" w14:textId="77777777">
        <w:tblPrEx>
          <w:tblCellMar>
            <w:top w:w="0" w:type="dxa"/>
            <w:bottom w:w="0" w:type="dxa"/>
          </w:tblCellMar>
        </w:tblPrEx>
        <w:trPr>
          <w:tblCellSpacing w:w="60" w:type="dxa"/>
        </w:trPr>
        <w:tc>
          <w:tcPr>
            <w:tcW w:w="1200" w:type="pct"/>
            <w:shd w:val="clear" w:color="auto" w:fill="E7F0F9"/>
          </w:tcPr>
          <w:p w14:paraId="2DCB38F8" w14:textId="77777777" w:rsidR="00807083" w:rsidRDefault="008A23A1">
            <w:pPr>
              <w:spacing w:after="0" w:line="240" w:lineRule="auto"/>
            </w:pPr>
            <w:r>
              <w:rPr>
                <w:b/>
              </w:rPr>
              <w:t>Naziv obveznika</w:t>
            </w:r>
          </w:p>
        </w:tc>
        <w:tc>
          <w:tcPr>
            <w:tcW w:w="0" w:type="auto"/>
            <w:shd w:val="clear" w:color="auto" w:fill="E7F0F9"/>
          </w:tcPr>
          <w:p w14:paraId="68554F7E" w14:textId="77777777" w:rsidR="00807083" w:rsidRDefault="008A23A1">
            <w:pPr>
              <w:spacing w:after="0" w:line="240" w:lineRule="auto"/>
            </w:pPr>
            <w:r>
              <w:t>HRVATSKA AKADEMSKA ISTRAŽIVAČKA MREŽA - CARNET</w:t>
            </w:r>
          </w:p>
        </w:tc>
      </w:tr>
      <w:tr w:rsidR="00807083" w14:paraId="3715DE91" w14:textId="77777777">
        <w:tblPrEx>
          <w:tblCellMar>
            <w:top w:w="0" w:type="dxa"/>
            <w:bottom w:w="0" w:type="dxa"/>
          </w:tblCellMar>
        </w:tblPrEx>
        <w:trPr>
          <w:tblCellSpacing w:w="60" w:type="dxa"/>
        </w:trPr>
        <w:tc>
          <w:tcPr>
            <w:tcW w:w="1200" w:type="pct"/>
            <w:shd w:val="clear" w:color="auto" w:fill="E7F0F9"/>
          </w:tcPr>
          <w:p w14:paraId="066184AE" w14:textId="77777777" w:rsidR="00807083" w:rsidRDefault="008A23A1">
            <w:pPr>
              <w:spacing w:after="0" w:line="240" w:lineRule="auto"/>
            </w:pPr>
            <w:r>
              <w:rPr>
                <w:b/>
              </w:rPr>
              <w:t>Razina</w:t>
            </w:r>
          </w:p>
        </w:tc>
        <w:tc>
          <w:tcPr>
            <w:tcW w:w="0" w:type="auto"/>
            <w:shd w:val="clear" w:color="auto" w:fill="E7F0F9"/>
          </w:tcPr>
          <w:p w14:paraId="662BBD9B" w14:textId="77777777" w:rsidR="00807083" w:rsidRDefault="008A23A1">
            <w:pPr>
              <w:spacing w:after="0" w:line="240" w:lineRule="auto"/>
            </w:pPr>
            <w:r>
              <w:t>11</w:t>
            </w:r>
          </w:p>
        </w:tc>
      </w:tr>
    </w:tbl>
    <w:p w14:paraId="5D0832CC" w14:textId="77777777" w:rsidR="00807083" w:rsidRDefault="008A23A1">
      <w:r>
        <w:br/>
      </w:r>
    </w:p>
    <w:p w14:paraId="1E9198F3" w14:textId="77777777" w:rsidR="00807083" w:rsidRDefault="008A23A1">
      <w:pPr>
        <w:spacing w:line="240" w:lineRule="auto"/>
        <w:jc w:val="center"/>
      </w:pPr>
      <w:r>
        <w:rPr>
          <w:b/>
          <w:sz w:val="28"/>
        </w:rPr>
        <w:t>BILJEŠKE UZ FINANCIJSKE IZVJEŠTAJE</w:t>
      </w:r>
    </w:p>
    <w:p w14:paraId="52A557C6" w14:textId="77777777" w:rsidR="00807083" w:rsidRDefault="008A23A1">
      <w:pPr>
        <w:spacing w:line="240" w:lineRule="auto"/>
        <w:jc w:val="center"/>
      </w:pPr>
      <w:r>
        <w:rPr>
          <w:b/>
          <w:sz w:val="28"/>
        </w:rPr>
        <w:t>ZA RAZDOBLJE</w:t>
      </w:r>
    </w:p>
    <w:p w14:paraId="2C253B4B" w14:textId="77777777" w:rsidR="00807083" w:rsidRDefault="008A23A1">
      <w:pPr>
        <w:spacing w:line="240" w:lineRule="auto"/>
        <w:jc w:val="center"/>
      </w:pPr>
      <w:r>
        <w:rPr>
          <w:b/>
          <w:sz w:val="28"/>
        </w:rPr>
        <w:t>I - XII 2025.</w:t>
      </w:r>
    </w:p>
    <w:p w14:paraId="2B608975" w14:textId="77777777" w:rsidR="00807083" w:rsidRDefault="00807083"/>
    <w:p w14:paraId="318625D8" w14:textId="77777777" w:rsidR="00807083" w:rsidRDefault="008A23A1">
      <w:pPr>
        <w:keepNext/>
        <w:spacing w:line="240" w:lineRule="auto"/>
        <w:jc w:val="center"/>
      </w:pPr>
      <w:r>
        <w:rPr>
          <w:b/>
          <w:sz w:val="28"/>
        </w:rPr>
        <w:t>Izvještaj o prihodima i rashodima, primicima i izdacima</w:t>
      </w:r>
    </w:p>
    <w:p w14:paraId="0266AF3B" w14:textId="77777777" w:rsidR="00807083" w:rsidRDefault="008A23A1">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25D4151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85D2328"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81A7C44"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B1E192A"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CB83FA5"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36E592F"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B603B6A" w14:textId="77777777" w:rsidR="00807083" w:rsidRDefault="008A23A1">
            <w:pPr>
              <w:keepNext/>
              <w:keepLines/>
              <w:spacing w:after="0" w:line="240" w:lineRule="auto"/>
              <w:jc w:val="center"/>
            </w:pPr>
            <w:r>
              <w:rPr>
                <w:b/>
                <w:sz w:val="18"/>
              </w:rPr>
              <w:t>Indeks (%)</w:t>
            </w:r>
          </w:p>
        </w:tc>
      </w:tr>
      <w:tr w:rsidR="00807083" w14:paraId="4608948B" w14:textId="77777777">
        <w:tblPrEx>
          <w:tblCellMar>
            <w:top w:w="0" w:type="dxa"/>
            <w:bottom w:w="0" w:type="dxa"/>
          </w:tblCellMar>
        </w:tblPrEx>
        <w:trPr>
          <w:cantSplit/>
          <w:trHeight w:val="560"/>
        </w:trPr>
        <w:tc>
          <w:tcPr>
            <w:tcW w:w="700" w:type="dxa"/>
            <w:tcMar>
              <w:top w:w="0" w:type="dxa"/>
              <w:bottom w:w="0" w:type="dxa"/>
            </w:tcMar>
            <w:vAlign w:val="center"/>
          </w:tcPr>
          <w:p w14:paraId="543A0D6A" w14:textId="77777777" w:rsidR="00807083" w:rsidRDefault="008A23A1">
            <w:pPr>
              <w:keepNext/>
              <w:keepLines/>
              <w:spacing w:after="0" w:line="240" w:lineRule="auto"/>
            </w:pPr>
            <w:r>
              <w:rPr>
                <w:sz w:val="18"/>
              </w:rPr>
              <w:t>6</w:t>
            </w:r>
          </w:p>
        </w:tc>
        <w:tc>
          <w:tcPr>
            <w:tcW w:w="3180" w:type="dxa"/>
            <w:tcMar>
              <w:top w:w="0" w:type="dxa"/>
              <w:bottom w:w="0" w:type="dxa"/>
            </w:tcMar>
            <w:vAlign w:val="center"/>
          </w:tcPr>
          <w:p w14:paraId="5221713A" w14:textId="77777777" w:rsidR="00807083" w:rsidRDefault="008A23A1">
            <w:pPr>
              <w:keepNext/>
              <w:keepLines/>
              <w:spacing w:after="0" w:line="240" w:lineRule="auto"/>
            </w:pPr>
            <w:r>
              <w:rPr>
                <w:sz w:val="18"/>
              </w:rPr>
              <w:t>PRIHODI POSLOVANJA (šifre 61+62+63+64+65+66+67+68)</w:t>
            </w:r>
          </w:p>
        </w:tc>
        <w:tc>
          <w:tcPr>
            <w:tcW w:w="700" w:type="dxa"/>
            <w:tcMar>
              <w:top w:w="0" w:type="dxa"/>
              <w:bottom w:w="0" w:type="dxa"/>
            </w:tcMar>
            <w:vAlign w:val="center"/>
          </w:tcPr>
          <w:p w14:paraId="6801901D" w14:textId="77777777" w:rsidR="00807083" w:rsidRDefault="008A23A1">
            <w:pPr>
              <w:keepNext/>
              <w:keepLines/>
              <w:spacing w:after="0" w:line="240" w:lineRule="auto"/>
            </w:pPr>
            <w:r>
              <w:rPr>
                <w:sz w:val="18"/>
              </w:rPr>
              <w:t>6</w:t>
            </w:r>
          </w:p>
        </w:tc>
        <w:tc>
          <w:tcPr>
            <w:tcW w:w="1860" w:type="dxa"/>
            <w:tcMar>
              <w:top w:w="0" w:type="dxa"/>
              <w:bottom w:w="0" w:type="dxa"/>
            </w:tcMar>
            <w:vAlign w:val="center"/>
          </w:tcPr>
          <w:p w14:paraId="1F02A4C5" w14:textId="77777777" w:rsidR="00807083" w:rsidRDefault="008A23A1">
            <w:pPr>
              <w:keepNext/>
              <w:keepLines/>
              <w:spacing w:after="0" w:line="240" w:lineRule="auto"/>
              <w:jc w:val="right"/>
            </w:pPr>
            <w:r>
              <w:rPr>
                <w:sz w:val="18"/>
              </w:rPr>
              <w:t>32.052.252,16</w:t>
            </w:r>
          </w:p>
        </w:tc>
        <w:tc>
          <w:tcPr>
            <w:tcW w:w="1860" w:type="dxa"/>
            <w:tcMar>
              <w:top w:w="0" w:type="dxa"/>
              <w:bottom w:w="0" w:type="dxa"/>
            </w:tcMar>
            <w:vAlign w:val="center"/>
          </w:tcPr>
          <w:p w14:paraId="4377D330" w14:textId="77777777" w:rsidR="00807083" w:rsidRDefault="008A23A1">
            <w:pPr>
              <w:keepNext/>
              <w:keepLines/>
              <w:spacing w:after="0" w:line="240" w:lineRule="auto"/>
              <w:jc w:val="right"/>
            </w:pPr>
            <w:r>
              <w:rPr>
                <w:sz w:val="18"/>
              </w:rPr>
              <w:t>43.963.627,96</w:t>
            </w:r>
          </w:p>
        </w:tc>
        <w:tc>
          <w:tcPr>
            <w:tcW w:w="700" w:type="dxa"/>
            <w:tcMar>
              <w:top w:w="0" w:type="dxa"/>
              <w:bottom w:w="0" w:type="dxa"/>
            </w:tcMar>
            <w:vAlign w:val="center"/>
          </w:tcPr>
          <w:p w14:paraId="66EDA610" w14:textId="77777777" w:rsidR="00807083" w:rsidRDefault="008A23A1">
            <w:pPr>
              <w:keepNext/>
              <w:keepLines/>
              <w:spacing w:after="0" w:line="240" w:lineRule="auto"/>
              <w:jc w:val="right"/>
            </w:pPr>
            <w:r>
              <w:rPr>
                <w:sz w:val="18"/>
              </w:rPr>
              <w:t>137,2</w:t>
            </w:r>
          </w:p>
        </w:tc>
      </w:tr>
      <w:tr w:rsidR="00807083" w14:paraId="487C7A08" w14:textId="77777777">
        <w:tblPrEx>
          <w:tblCellMar>
            <w:top w:w="0" w:type="dxa"/>
            <w:bottom w:w="0" w:type="dxa"/>
          </w:tblCellMar>
        </w:tblPrEx>
        <w:trPr>
          <w:cantSplit/>
          <w:trHeight w:val="560"/>
        </w:trPr>
        <w:tc>
          <w:tcPr>
            <w:tcW w:w="700" w:type="dxa"/>
            <w:tcMar>
              <w:top w:w="0" w:type="dxa"/>
              <w:bottom w:w="0" w:type="dxa"/>
            </w:tcMar>
            <w:vAlign w:val="center"/>
          </w:tcPr>
          <w:p w14:paraId="52378571" w14:textId="77777777" w:rsidR="00807083" w:rsidRDefault="008A23A1">
            <w:pPr>
              <w:keepNext/>
              <w:keepLines/>
              <w:spacing w:after="0" w:line="240" w:lineRule="auto"/>
            </w:pPr>
            <w:r>
              <w:rPr>
                <w:sz w:val="18"/>
              </w:rPr>
              <w:t>3</w:t>
            </w:r>
          </w:p>
        </w:tc>
        <w:tc>
          <w:tcPr>
            <w:tcW w:w="3180" w:type="dxa"/>
            <w:tcMar>
              <w:top w:w="0" w:type="dxa"/>
              <w:bottom w:w="0" w:type="dxa"/>
            </w:tcMar>
            <w:vAlign w:val="center"/>
          </w:tcPr>
          <w:p w14:paraId="37071DF0" w14:textId="77777777" w:rsidR="00807083" w:rsidRDefault="008A23A1">
            <w:pPr>
              <w:keepNext/>
              <w:keepLines/>
              <w:spacing w:after="0" w:line="240" w:lineRule="auto"/>
            </w:pPr>
            <w:r>
              <w:rPr>
                <w:sz w:val="18"/>
              </w:rPr>
              <w:t>RASHODI POSLOVANJA (šifre 31+32+34+35+36+37+38)</w:t>
            </w:r>
          </w:p>
        </w:tc>
        <w:tc>
          <w:tcPr>
            <w:tcW w:w="700" w:type="dxa"/>
            <w:tcMar>
              <w:top w:w="0" w:type="dxa"/>
              <w:bottom w:w="0" w:type="dxa"/>
            </w:tcMar>
            <w:vAlign w:val="center"/>
          </w:tcPr>
          <w:p w14:paraId="27144A85" w14:textId="77777777" w:rsidR="00807083" w:rsidRDefault="008A23A1">
            <w:pPr>
              <w:keepNext/>
              <w:keepLines/>
              <w:spacing w:after="0" w:line="240" w:lineRule="auto"/>
            </w:pPr>
            <w:r>
              <w:rPr>
                <w:sz w:val="18"/>
              </w:rPr>
              <w:t>3</w:t>
            </w:r>
          </w:p>
        </w:tc>
        <w:tc>
          <w:tcPr>
            <w:tcW w:w="1860" w:type="dxa"/>
            <w:tcMar>
              <w:top w:w="0" w:type="dxa"/>
              <w:bottom w:w="0" w:type="dxa"/>
            </w:tcMar>
            <w:vAlign w:val="center"/>
          </w:tcPr>
          <w:p w14:paraId="507B8AFC" w14:textId="77777777" w:rsidR="00807083" w:rsidRDefault="008A23A1">
            <w:pPr>
              <w:keepNext/>
              <w:keepLines/>
              <w:spacing w:after="0" w:line="240" w:lineRule="auto"/>
              <w:jc w:val="right"/>
            </w:pPr>
            <w:r>
              <w:rPr>
                <w:sz w:val="18"/>
              </w:rPr>
              <w:t>24.192.197,15</w:t>
            </w:r>
          </w:p>
        </w:tc>
        <w:tc>
          <w:tcPr>
            <w:tcW w:w="1860" w:type="dxa"/>
            <w:tcMar>
              <w:top w:w="0" w:type="dxa"/>
              <w:bottom w:w="0" w:type="dxa"/>
            </w:tcMar>
            <w:vAlign w:val="center"/>
          </w:tcPr>
          <w:p w14:paraId="2E8FC801" w14:textId="77777777" w:rsidR="00807083" w:rsidRDefault="008A23A1">
            <w:pPr>
              <w:keepNext/>
              <w:keepLines/>
              <w:spacing w:after="0" w:line="240" w:lineRule="auto"/>
              <w:jc w:val="right"/>
            </w:pPr>
            <w:r>
              <w:rPr>
                <w:sz w:val="18"/>
              </w:rPr>
              <w:t>34.985.808,10</w:t>
            </w:r>
          </w:p>
        </w:tc>
        <w:tc>
          <w:tcPr>
            <w:tcW w:w="700" w:type="dxa"/>
            <w:tcMar>
              <w:top w:w="0" w:type="dxa"/>
              <w:bottom w:w="0" w:type="dxa"/>
            </w:tcMar>
            <w:vAlign w:val="center"/>
          </w:tcPr>
          <w:p w14:paraId="5CF89BC3" w14:textId="77777777" w:rsidR="00807083" w:rsidRDefault="008A23A1">
            <w:pPr>
              <w:keepNext/>
              <w:keepLines/>
              <w:spacing w:after="0" w:line="240" w:lineRule="auto"/>
              <w:jc w:val="right"/>
            </w:pPr>
            <w:r>
              <w:rPr>
                <w:sz w:val="18"/>
              </w:rPr>
              <w:t>144,6</w:t>
            </w:r>
          </w:p>
        </w:tc>
      </w:tr>
      <w:tr w:rsidR="00807083" w14:paraId="2E2F6AB0" w14:textId="77777777">
        <w:tblPrEx>
          <w:tblCellMar>
            <w:top w:w="0" w:type="dxa"/>
            <w:bottom w:w="0" w:type="dxa"/>
          </w:tblCellMar>
        </w:tblPrEx>
        <w:trPr>
          <w:cantSplit/>
          <w:trHeight w:val="560"/>
        </w:trPr>
        <w:tc>
          <w:tcPr>
            <w:tcW w:w="700" w:type="dxa"/>
            <w:tcMar>
              <w:top w:w="0" w:type="dxa"/>
              <w:bottom w:w="0" w:type="dxa"/>
            </w:tcMar>
            <w:vAlign w:val="center"/>
          </w:tcPr>
          <w:p w14:paraId="6A6257D9" w14:textId="77777777" w:rsidR="00807083" w:rsidRDefault="00807083">
            <w:pPr>
              <w:keepNext/>
              <w:keepLines/>
              <w:spacing w:after="0" w:line="240" w:lineRule="auto"/>
            </w:pPr>
          </w:p>
        </w:tc>
        <w:tc>
          <w:tcPr>
            <w:tcW w:w="3180" w:type="dxa"/>
            <w:tcMar>
              <w:top w:w="0" w:type="dxa"/>
              <w:bottom w:w="0" w:type="dxa"/>
            </w:tcMar>
            <w:vAlign w:val="center"/>
          </w:tcPr>
          <w:p w14:paraId="59D122F5" w14:textId="77777777" w:rsidR="00807083" w:rsidRDefault="008A23A1">
            <w:pPr>
              <w:keepNext/>
              <w:keepLines/>
              <w:spacing w:after="0" w:line="240" w:lineRule="auto"/>
            </w:pPr>
            <w:r>
              <w:rPr>
                <w:b/>
                <w:sz w:val="18"/>
              </w:rPr>
              <w:t>VIŠAK PRIHODA POSLOVANJA (šifre 6-Z005)</w:t>
            </w:r>
          </w:p>
        </w:tc>
        <w:tc>
          <w:tcPr>
            <w:tcW w:w="700" w:type="dxa"/>
            <w:tcMar>
              <w:top w:w="0" w:type="dxa"/>
              <w:bottom w:w="0" w:type="dxa"/>
            </w:tcMar>
            <w:vAlign w:val="center"/>
          </w:tcPr>
          <w:p w14:paraId="4736E5E6" w14:textId="77777777" w:rsidR="00807083" w:rsidRDefault="008A23A1">
            <w:pPr>
              <w:keepNext/>
              <w:keepLines/>
              <w:spacing w:after="0" w:line="240" w:lineRule="auto"/>
            </w:pPr>
            <w:r>
              <w:rPr>
                <w:b/>
                <w:sz w:val="18"/>
              </w:rPr>
              <w:t>X001</w:t>
            </w:r>
          </w:p>
        </w:tc>
        <w:tc>
          <w:tcPr>
            <w:tcW w:w="1860" w:type="dxa"/>
            <w:tcMar>
              <w:top w:w="0" w:type="dxa"/>
              <w:bottom w:w="0" w:type="dxa"/>
            </w:tcMar>
            <w:vAlign w:val="center"/>
          </w:tcPr>
          <w:p w14:paraId="201E7AAE" w14:textId="77777777" w:rsidR="00807083" w:rsidRDefault="008A23A1">
            <w:pPr>
              <w:keepNext/>
              <w:keepLines/>
              <w:spacing w:after="0" w:line="240" w:lineRule="auto"/>
              <w:jc w:val="right"/>
            </w:pPr>
            <w:r>
              <w:rPr>
                <w:b/>
                <w:sz w:val="18"/>
              </w:rPr>
              <w:t>7.860.055,01</w:t>
            </w:r>
          </w:p>
        </w:tc>
        <w:tc>
          <w:tcPr>
            <w:tcW w:w="1860" w:type="dxa"/>
            <w:tcMar>
              <w:top w:w="0" w:type="dxa"/>
              <w:bottom w:w="0" w:type="dxa"/>
            </w:tcMar>
            <w:vAlign w:val="center"/>
          </w:tcPr>
          <w:p w14:paraId="4C551BAF" w14:textId="77777777" w:rsidR="00807083" w:rsidRDefault="008A23A1">
            <w:pPr>
              <w:keepNext/>
              <w:keepLines/>
              <w:spacing w:after="0" w:line="240" w:lineRule="auto"/>
              <w:jc w:val="right"/>
            </w:pPr>
            <w:r>
              <w:rPr>
                <w:b/>
                <w:sz w:val="18"/>
              </w:rPr>
              <w:t>8.977.819,86</w:t>
            </w:r>
          </w:p>
        </w:tc>
        <w:tc>
          <w:tcPr>
            <w:tcW w:w="700" w:type="dxa"/>
            <w:tcMar>
              <w:top w:w="0" w:type="dxa"/>
              <w:bottom w:w="0" w:type="dxa"/>
            </w:tcMar>
            <w:vAlign w:val="center"/>
          </w:tcPr>
          <w:p w14:paraId="7813E46F" w14:textId="77777777" w:rsidR="00807083" w:rsidRDefault="008A23A1">
            <w:pPr>
              <w:keepNext/>
              <w:keepLines/>
              <w:spacing w:after="0" w:line="240" w:lineRule="auto"/>
              <w:jc w:val="right"/>
            </w:pPr>
            <w:r>
              <w:rPr>
                <w:b/>
                <w:sz w:val="18"/>
              </w:rPr>
              <w:t>114,2</w:t>
            </w:r>
          </w:p>
        </w:tc>
      </w:tr>
      <w:tr w:rsidR="00807083" w14:paraId="535095C9" w14:textId="77777777">
        <w:tblPrEx>
          <w:tblCellMar>
            <w:top w:w="0" w:type="dxa"/>
            <w:bottom w:w="0" w:type="dxa"/>
          </w:tblCellMar>
        </w:tblPrEx>
        <w:trPr>
          <w:cantSplit/>
          <w:trHeight w:val="560"/>
        </w:trPr>
        <w:tc>
          <w:tcPr>
            <w:tcW w:w="700" w:type="dxa"/>
            <w:tcMar>
              <w:top w:w="0" w:type="dxa"/>
              <w:bottom w:w="0" w:type="dxa"/>
            </w:tcMar>
            <w:vAlign w:val="center"/>
          </w:tcPr>
          <w:p w14:paraId="6C1CBF39" w14:textId="77777777" w:rsidR="00807083" w:rsidRDefault="008A23A1">
            <w:pPr>
              <w:keepNext/>
              <w:keepLines/>
              <w:spacing w:after="0" w:line="240" w:lineRule="auto"/>
            </w:pPr>
            <w:r>
              <w:rPr>
                <w:sz w:val="18"/>
              </w:rPr>
              <w:t>7</w:t>
            </w:r>
          </w:p>
        </w:tc>
        <w:tc>
          <w:tcPr>
            <w:tcW w:w="3180" w:type="dxa"/>
            <w:tcMar>
              <w:top w:w="0" w:type="dxa"/>
              <w:bottom w:w="0" w:type="dxa"/>
            </w:tcMar>
            <w:vAlign w:val="center"/>
          </w:tcPr>
          <w:p w14:paraId="25E0CD05" w14:textId="77777777" w:rsidR="00807083" w:rsidRDefault="008A23A1">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3C25EE17" w14:textId="77777777" w:rsidR="00807083" w:rsidRDefault="008A23A1">
            <w:pPr>
              <w:keepNext/>
              <w:keepLines/>
              <w:spacing w:after="0" w:line="240" w:lineRule="auto"/>
            </w:pPr>
            <w:r>
              <w:rPr>
                <w:sz w:val="18"/>
              </w:rPr>
              <w:t>7</w:t>
            </w:r>
          </w:p>
        </w:tc>
        <w:tc>
          <w:tcPr>
            <w:tcW w:w="1860" w:type="dxa"/>
            <w:tcMar>
              <w:top w:w="0" w:type="dxa"/>
              <w:bottom w:w="0" w:type="dxa"/>
            </w:tcMar>
            <w:vAlign w:val="center"/>
          </w:tcPr>
          <w:p w14:paraId="162BC7D1" w14:textId="77777777" w:rsidR="00807083" w:rsidRDefault="008A23A1">
            <w:pPr>
              <w:keepNext/>
              <w:keepLines/>
              <w:spacing w:after="0" w:line="240" w:lineRule="auto"/>
              <w:jc w:val="right"/>
            </w:pPr>
            <w:r>
              <w:rPr>
                <w:sz w:val="18"/>
              </w:rPr>
              <w:t>0,00</w:t>
            </w:r>
          </w:p>
        </w:tc>
        <w:tc>
          <w:tcPr>
            <w:tcW w:w="1860" w:type="dxa"/>
            <w:tcMar>
              <w:top w:w="0" w:type="dxa"/>
              <w:bottom w:w="0" w:type="dxa"/>
            </w:tcMar>
            <w:vAlign w:val="center"/>
          </w:tcPr>
          <w:p w14:paraId="289D6023" w14:textId="77777777" w:rsidR="00807083" w:rsidRDefault="008A23A1">
            <w:pPr>
              <w:keepNext/>
              <w:keepLines/>
              <w:spacing w:after="0" w:line="240" w:lineRule="auto"/>
              <w:jc w:val="right"/>
            </w:pPr>
            <w:r>
              <w:rPr>
                <w:sz w:val="18"/>
              </w:rPr>
              <w:t>0,00</w:t>
            </w:r>
          </w:p>
        </w:tc>
        <w:tc>
          <w:tcPr>
            <w:tcW w:w="700" w:type="dxa"/>
            <w:tcMar>
              <w:top w:w="0" w:type="dxa"/>
              <w:bottom w:w="0" w:type="dxa"/>
            </w:tcMar>
            <w:vAlign w:val="center"/>
          </w:tcPr>
          <w:p w14:paraId="387DF5EF" w14:textId="77777777" w:rsidR="00807083" w:rsidRDefault="008A23A1">
            <w:pPr>
              <w:keepNext/>
              <w:keepLines/>
              <w:spacing w:after="0" w:line="240" w:lineRule="auto"/>
              <w:jc w:val="right"/>
            </w:pPr>
            <w:r>
              <w:rPr>
                <w:sz w:val="18"/>
              </w:rPr>
              <w:t>-</w:t>
            </w:r>
          </w:p>
        </w:tc>
      </w:tr>
      <w:tr w:rsidR="00807083" w14:paraId="05A67ACF" w14:textId="77777777">
        <w:tblPrEx>
          <w:tblCellMar>
            <w:top w:w="0" w:type="dxa"/>
            <w:bottom w:w="0" w:type="dxa"/>
          </w:tblCellMar>
        </w:tblPrEx>
        <w:trPr>
          <w:cantSplit/>
          <w:trHeight w:val="560"/>
        </w:trPr>
        <w:tc>
          <w:tcPr>
            <w:tcW w:w="700" w:type="dxa"/>
            <w:tcMar>
              <w:top w:w="0" w:type="dxa"/>
              <w:bottom w:w="0" w:type="dxa"/>
            </w:tcMar>
            <w:vAlign w:val="center"/>
          </w:tcPr>
          <w:p w14:paraId="558F1031" w14:textId="77777777" w:rsidR="00807083" w:rsidRDefault="008A23A1">
            <w:pPr>
              <w:keepNext/>
              <w:keepLines/>
              <w:spacing w:after="0" w:line="240" w:lineRule="auto"/>
            </w:pPr>
            <w:r>
              <w:rPr>
                <w:sz w:val="18"/>
              </w:rPr>
              <w:t>4</w:t>
            </w:r>
          </w:p>
        </w:tc>
        <w:tc>
          <w:tcPr>
            <w:tcW w:w="3180" w:type="dxa"/>
            <w:tcMar>
              <w:top w:w="0" w:type="dxa"/>
              <w:bottom w:w="0" w:type="dxa"/>
            </w:tcMar>
            <w:vAlign w:val="center"/>
          </w:tcPr>
          <w:p w14:paraId="6C6D0F46" w14:textId="77777777" w:rsidR="00807083" w:rsidRDefault="008A23A1">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2EEFEAB7" w14:textId="77777777" w:rsidR="00807083" w:rsidRDefault="008A23A1">
            <w:pPr>
              <w:keepNext/>
              <w:keepLines/>
              <w:spacing w:after="0" w:line="240" w:lineRule="auto"/>
            </w:pPr>
            <w:r>
              <w:rPr>
                <w:sz w:val="18"/>
              </w:rPr>
              <w:t>4</w:t>
            </w:r>
          </w:p>
        </w:tc>
        <w:tc>
          <w:tcPr>
            <w:tcW w:w="1860" w:type="dxa"/>
            <w:tcMar>
              <w:top w:w="0" w:type="dxa"/>
              <w:bottom w:w="0" w:type="dxa"/>
            </w:tcMar>
            <w:vAlign w:val="center"/>
          </w:tcPr>
          <w:p w14:paraId="450C32BD" w14:textId="77777777" w:rsidR="00807083" w:rsidRDefault="008A23A1">
            <w:pPr>
              <w:keepNext/>
              <w:keepLines/>
              <w:spacing w:after="0" w:line="240" w:lineRule="auto"/>
              <w:jc w:val="right"/>
            </w:pPr>
            <w:r>
              <w:rPr>
                <w:sz w:val="18"/>
              </w:rPr>
              <w:t>9.116.613,30</w:t>
            </w:r>
          </w:p>
        </w:tc>
        <w:tc>
          <w:tcPr>
            <w:tcW w:w="1860" w:type="dxa"/>
            <w:tcMar>
              <w:top w:w="0" w:type="dxa"/>
              <w:bottom w:w="0" w:type="dxa"/>
            </w:tcMar>
            <w:vAlign w:val="center"/>
          </w:tcPr>
          <w:p w14:paraId="000368B6" w14:textId="77777777" w:rsidR="00807083" w:rsidRDefault="008A23A1">
            <w:pPr>
              <w:keepNext/>
              <w:keepLines/>
              <w:spacing w:after="0" w:line="240" w:lineRule="auto"/>
              <w:jc w:val="right"/>
            </w:pPr>
            <w:r>
              <w:rPr>
                <w:sz w:val="18"/>
              </w:rPr>
              <w:t>6.268.467,50</w:t>
            </w:r>
          </w:p>
        </w:tc>
        <w:tc>
          <w:tcPr>
            <w:tcW w:w="700" w:type="dxa"/>
            <w:tcMar>
              <w:top w:w="0" w:type="dxa"/>
              <w:bottom w:w="0" w:type="dxa"/>
            </w:tcMar>
            <w:vAlign w:val="center"/>
          </w:tcPr>
          <w:p w14:paraId="1DD4BEC0" w14:textId="77777777" w:rsidR="00807083" w:rsidRDefault="008A23A1">
            <w:pPr>
              <w:keepNext/>
              <w:keepLines/>
              <w:spacing w:after="0" w:line="240" w:lineRule="auto"/>
              <w:jc w:val="right"/>
            </w:pPr>
            <w:r>
              <w:rPr>
                <w:sz w:val="18"/>
              </w:rPr>
              <w:t>68,8</w:t>
            </w:r>
          </w:p>
        </w:tc>
      </w:tr>
      <w:tr w:rsidR="00807083" w14:paraId="040390E3" w14:textId="77777777">
        <w:tblPrEx>
          <w:tblCellMar>
            <w:top w:w="0" w:type="dxa"/>
            <w:bottom w:w="0" w:type="dxa"/>
          </w:tblCellMar>
        </w:tblPrEx>
        <w:trPr>
          <w:cantSplit/>
          <w:trHeight w:val="560"/>
        </w:trPr>
        <w:tc>
          <w:tcPr>
            <w:tcW w:w="700" w:type="dxa"/>
            <w:tcMar>
              <w:top w:w="0" w:type="dxa"/>
              <w:bottom w:w="0" w:type="dxa"/>
            </w:tcMar>
            <w:vAlign w:val="center"/>
          </w:tcPr>
          <w:p w14:paraId="5EC21B32" w14:textId="77777777" w:rsidR="00807083" w:rsidRDefault="00807083">
            <w:pPr>
              <w:keepNext/>
              <w:keepLines/>
              <w:spacing w:after="0" w:line="240" w:lineRule="auto"/>
            </w:pPr>
          </w:p>
        </w:tc>
        <w:tc>
          <w:tcPr>
            <w:tcW w:w="3180" w:type="dxa"/>
            <w:tcMar>
              <w:top w:w="0" w:type="dxa"/>
              <w:bottom w:w="0" w:type="dxa"/>
            </w:tcMar>
            <w:vAlign w:val="center"/>
          </w:tcPr>
          <w:p w14:paraId="579A3401" w14:textId="77777777" w:rsidR="00807083" w:rsidRDefault="008A23A1">
            <w:pPr>
              <w:keepNext/>
              <w:keepLines/>
              <w:spacing w:after="0" w:line="240" w:lineRule="auto"/>
            </w:pPr>
            <w:r>
              <w:rPr>
                <w:b/>
                <w:sz w:val="18"/>
              </w:rPr>
              <w:t>MANJAK PRIHODA OD NEFINANCIJSKE IMOVINE (šifre 4-7)</w:t>
            </w:r>
          </w:p>
        </w:tc>
        <w:tc>
          <w:tcPr>
            <w:tcW w:w="700" w:type="dxa"/>
            <w:tcMar>
              <w:top w:w="0" w:type="dxa"/>
              <w:bottom w:w="0" w:type="dxa"/>
            </w:tcMar>
            <w:vAlign w:val="center"/>
          </w:tcPr>
          <w:p w14:paraId="51C9DCA2" w14:textId="77777777" w:rsidR="00807083" w:rsidRDefault="008A23A1">
            <w:pPr>
              <w:keepNext/>
              <w:keepLines/>
              <w:spacing w:after="0" w:line="240" w:lineRule="auto"/>
            </w:pPr>
            <w:r>
              <w:rPr>
                <w:b/>
                <w:sz w:val="18"/>
              </w:rPr>
              <w:t>Y002</w:t>
            </w:r>
          </w:p>
        </w:tc>
        <w:tc>
          <w:tcPr>
            <w:tcW w:w="1860" w:type="dxa"/>
            <w:tcMar>
              <w:top w:w="0" w:type="dxa"/>
              <w:bottom w:w="0" w:type="dxa"/>
            </w:tcMar>
            <w:vAlign w:val="center"/>
          </w:tcPr>
          <w:p w14:paraId="48221DA0" w14:textId="77777777" w:rsidR="00807083" w:rsidRDefault="008A23A1">
            <w:pPr>
              <w:keepNext/>
              <w:keepLines/>
              <w:spacing w:after="0" w:line="240" w:lineRule="auto"/>
              <w:jc w:val="right"/>
            </w:pPr>
            <w:r>
              <w:rPr>
                <w:b/>
                <w:sz w:val="18"/>
              </w:rPr>
              <w:t>9.116.613,30</w:t>
            </w:r>
          </w:p>
        </w:tc>
        <w:tc>
          <w:tcPr>
            <w:tcW w:w="1860" w:type="dxa"/>
            <w:tcMar>
              <w:top w:w="0" w:type="dxa"/>
              <w:bottom w:w="0" w:type="dxa"/>
            </w:tcMar>
            <w:vAlign w:val="center"/>
          </w:tcPr>
          <w:p w14:paraId="5FD756BE" w14:textId="77777777" w:rsidR="00807083" w:rsidRDefault="008A23A1">
            <w:pPr>
              <w:keepNext/>
              <w:keepLines/>
              <w:spacing w:after="0" w:line="240" w:lineRule="auto"/>
              <w:jc w:val="right"/>
            </w:pPr>
            <w:r>
              <w:rPr>
                <w:b/>
                <w:sz w:val="18"/>
              </w:rPr>
              <w:t>6.268.467,50</w:t>
            </w:r>
          </w:p>
        </w:tc>
        <w:tc>
          <w:tcPr>
            <w:tcW w:w="700" w:type="dxa"/>
            <w:tcMar>
              <w:top w:w="0" w:type="dxa"/>
              <w:bottom w:w="0" w:type="dxa"/>
            </w:tcMar>
            <w:vAlign w:val="center"/>
          </w:tcPr>
          <w:p w14:paraId="6327AC22" w14:textId="77777777" w:rsidR="00807083" w:rsidRDefault="008A23A1">
            <w:pPr>
              <w:keepNext/>
              <w:keepLines/>
              <w:spacing w:after="0" w:line="240" w:lineRule="auto"/>
              <w:jc w:val="right"/>
            </w:pPr>
            <w:r>
              <w:rPr>
                <w:b/>
                <w:sz w:val="18"/>
              </w:rPr>
              <w:t>68,8</w:t>
            </w:r>
          </w:p>
        </w:tc>
      </w:tr>
      <w:tr w:rsidR="00807083" w14:paraId="701315D2" w14:textId="77777777">
        <w:tblPrEx>
          <w:tblCellMar>
            <w:top w:w="0" w:type="dxa"/>
            <w:bottom w:w="0" w:type="dxa"/>
          </w:tblCellMar>
        </w:tblPrEx>
        <w:trPr>
          <w:cantSplit/>
          <w:trHeight w:val="560"/>
        </w:trPr>
        <w:tc>
          <w:tcPr>
            <w:tcW w:w="700" w:type="dxa"/>
            <w:tcMar>
              <w:top w:w="0" w:type="dxa"/>
              <w:bottom w:w="0" w:type="dxa"/>
            </w:tcMar>
            <w:vAlign w:val="center"/>
          </w:tcPr>
          <w:p w14:paraId="17DA0399" w14:textId="77777777" w:rsidR="00807083" w:rsidRDefault="008A23A1">
            <w:pPr>
              <w:keepNext/>
              <w:keepLines/>
              <w:spacing w:after="0" w:line="240" w:lineRule="auto"/>
            </w:pPr>
            <w:r>
              <w:rPr>
                <w:sz w:val="18"/>
              </w:rPr>
              <w:t>8</w:t>
            </w:r>
          </w:p>
        </w:tc>
        <w:tc>
          <w:tcPr>
            <w:tcW w:w="3180" w:type="dxa"/>
            <w:tcMar>
              <w:top w:w="0" w:type="dxa"/>
              <w:bottom w:w="0" w:type="dxa"/>
            </w:tcMar>
            <w:vAlign w:val="center"/>
          </w:tcPr>
          <w:p w14:paraId="21C8C1BA" w14:textId="77777777" w:rsidR="00807083" w:rsidRDefault="008A23A1">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2DBCB871" w14:textId="77777777" w:rsidR="00807083" w:rsidRDefault="008A23A1">
            <w:pPr>
              <w:keepNext/>
              <w:keepLines/>
              <w:spacing w:after="0" w:line="240" w:lineRule="auto"/>
            </w:pPr>
            <w:r>
              <w:rPr>
                <w:sz w:val="18"/>
              </w:rPr>
              <w:t>8</w:t>
            </w:r>
          </w:p>
        </w:tc>
        <w:tc>
          <w:tcPr>
            <w:tcW w:w="1860" w:type="dxa"/>
            <w:tcMar>
              <w:top w:w="0" w:type="dxa"/>
              <w:bottom w:w="0" w:type="dxa"/>
            </w:tcMar>
            <w:vAlign w:val="center"/>
          </w:tcPr>
          <w:p w14:paraId="3BFC7F8C" w14:textId="77777777" w:rsidR="00807083" w:rsidRDefault="008A23A1">
            <w:pPr>
              <w:keepNext/>
              <w:keepLines/>
              <w:spacing w:after="0" w:line="240" w:lineRule="auto"/>
              <w:jc w:val="right"/>
            </w:pPr>
            <w:r>
              <w:rPr>
                <w:sz w:val="18"/>
              </w:rPr>
              <w:t>0,00</w:t>
            </w:r>
          </w:p>
        </w:tc>
        <w:tc>
          <w:tcPr>
            <w:tcW w:w="1860" w:type="dxa"/>
            <w:tcMar>
              <w:top w:w="0" w:type="dxa"/>
              <w:bottom w:w="0" w:type="dxa"/>
            </w:tcMar>
            <w:vAlign w:val="center"/>
          </w:tcPr>
          <w:p w14:paraId="60B5F60C" w14:textId="77777777" w:rsidR="00807083" w:rsidRDefault="008A23A1">
            <w:pPr>
              <w:keepNext/>
              <w:keepLines/>
              <w:spacing w:after="0" w:line="240" w:lineRule="auto"/>
              <w:jc w:val="right"/>
            </w:pPr>
            <w:r>
              <w:rPr>
                <w:sz w:val="18"/>
              </w:rPr>
              <w:t>0,00</w:t>
            </w:r>
          </w:p>
        </w:tc>
        <w:tc>
          <w:tcPr>
            <w:tcW w:w="700" w:type="dxa"/>
            <w:tcMar>
              <w:top w:w="0" w:type="dxa"/>
              <w:bottom w:w="0" w:type="dxa"/>
            </w:tcMar>
            <w:vAlign w:val="center"/>
          </w:tcPr>
          <w:p w14:paraId="3FAD228B" w14:textId="77777777" w:rsidR="00807083" w:rsidRDefault="008A23A1">
            <w:pPr>
              <w:keepNext/>
              <w:keepLines/>
              <w:spacing w:after="0" w:line="240" w:lineRule="auto"/>
              <w:jc w:val="right"/>
            </w:pPr>
            <w:r>
              <w:rPr>
                <w:sz w:val="18"/>
              </w:rPr>
              <w:t>-</w:t>
            </w:r>
          </w:p>
        </w:tc>
      </w:tr>
      <w:tr w:rsidR="00807083" w14:paraId="33E4826F" w14:textId="77777777">
        <w:tblPrEx>
          <w:tblCellMar>
            <w:top w:w="0" w:type="dxa"/>
            <w:bottom w:w="0" w:type="dxa"/>
          </w:tblCellMar>
        </w:tblPrEx>
        <w:trPr>
          <w:cantSplit/>
          <w:trHeight w:val="560"/>
        </w:trPr>
        <w:tc>
          <w:tcPr>
            <w:tcW w:w="700" w:type="dxa"/>
            <w:tcMar>
              <w:top w:w="0" w:type="dxa"/>
              <w:bottom w:w="0" w:type="dxa"/>
            </w:tcMar>
            <w:vAlign w:val="center"/>
          </w:tcPr>
          <w:p w14:paraId="273905A3" w14:textId="77777777" w:rsidR="00807083" w:rsidRDefault="008A23A1">
            <w:pPr>
              <w:keepNext/>
              <w:keepLines/>
              <w:spacing w:after="0" w:line="240" w:lineRule="auto"/>
            </w:pPr>
            <w:r>
              <w:rPr>
                <w:sz w:val="18"/>
              </w:rPr>
              <w:t>5</w:t>
            </w:r>
          </w:p>
        </w:tc>
        <w:tc>
          <w:tcPr>
            <w:tcW w:w="3180" w:type="dxa"/>
            <w:tcMar>
              <w:top w:w="0" w:type="dxa"/>
              <w:bottom w:w="0" w:type="dxa"/>
            </w:tcMar>
            <w:vAlign w:val="center"/>
          </w:tcPr>
          <w:p w14:paraId="519A0ADE" w14:textId="77777777" w:rsidR="00807083" w:rsidRDefault="008A23A1">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1D9FB986" w14:textId="77777777" w:rsidR="00807083" w:rsidRDefault="008A23A1">
            <w:pPr>
              <w:keepNext/>
              <w:keepLines/>
              <w:spacing w:after="0" w:line="240" w:lineRule="auto"/>
            </w:pPr>
            <w:r>
              <w:rPr>
                <w:sz w:val="18"/>
              </w:rPr>
              <w:t>5</w:t>
            </w:r>
          </w:p>
        </w:tc>
        <w:tc>
          <w:tcPr>
            <w:tcW w:w="1860" w:type="dxa"/>
            <w:tcMar>
              <w:top w:w="0" w:type="dxa"/>
              <w:bottom w:w="0" w:type="dxa"/>
            </w:tcMar>
            <w:vAlign w:val="center"/>
          </w:tcPr>
          <w:p w14:paraId="139CF91D" w14:textId="77777777" w:rsidR="00807083" w:rsidRDefault="008A23A1">
            <w:pPr>
              <w:keepNext/>
              <w:keepLines/>
              <w:spacing w:after="0" w:line="240" w:lineRule="auto"/>
              <w:jc w:val="right"/>
            </w:pPr>
            <w:r>
              <w:rPr>
                <w:sz w:val="18"/>
              </w:rPr>
              <w:t>0,00</w:t>
            </w:r>
          </w:p>
        </w:tc>
        <w:tc>
          <w:tcPr>
            <w:tcW w:w="1860" w:type="dxa"/>
            <w:tcMar>
              <w:top w:w="0" w:type="dxa"/>
              <w:bottom w:w="0" w:type="dxa"/>
            </w:tcMar>
            <w:vAlign w:val="center"/>
          </w:tcPr>
          <w:p w14:paraId="080D8031" w14:textId="77777777" w:rsidR="00807083" w:rsidRDefault="008A23A1">
            <w:pPr>
              <w:keepNext/>
              <w:keepLines/>
              <w:spacing w:after="0" w:line="240" w:lineRule="auto"/>
              <w:jc w:val="right"/>
            </w:pPr>
            <w:r>
              <w:rPr>
                <w:sz w:val="18"/>
              </w:rPr>
              <w:t>0,00</w:t>
            </w:r>
          </w:p>
        </w:tc>
        <w:tc>
          <w:tcPr>
            <w:tcW w:w="700" w:type="dxa"/>
            <w:tcMar>
              <w:top w:w="0" w:type="dxa"/>
              <w:bottom w:w="0" w:type="dxa"/>
            </w:tcMar>
            <w:vAlign w:val="center"/>
          </w:tcPr>
          <w:p w14:paraId="08FB8330" w14:textId="77777777" w:rsidR="00807083" w:rsidRDefault="008A23A1">
            <w:pPr>
              <w:keepNext/>
              <w:keepLines/>
              <w:spacing w:after="0" w:line="240" w:lineRule="auto"/>
              <w:jc w:val="right"/>
            </w:pPr>
            <w:r>
              <w:rPr>
                <w:sz w:val="18"/>
              </w:rPr>
              <w:t>-</w:t>
            </w:r>
          </w:p>
        </w:tc>
      </w:tr>
      <w:tr w:rsidR="00807083" w14:paraId="0F3F51EA" w14:textId="77777777">
        <w:tblPrEx>
          <w:tblCellMar>
            <w:top w:w="0" w:type="dxa"/>
            <w:bottom w:w="0" w:type="dxa"/>
          </w:tblCellMar>
        </w:tblPrEx>
        <w:trPr>
          <w:cantSplit/>
          <w:trHeight w:val="560"/>
        </w:trPr>
        <w:tc>
          <w:tcPr>
            <w:tcW w:w="700" w:type="dxa"/>
            <w:tcMar>
              <w:top w:w="0" w:type="dxa"/>
              <w:bottom w:w="0" w:type="dxa"/>
            </w:tcMar>
            <w:vAlign w:val="center"/>
          </w:tcPr>
          <w:p w14:paraId="606CA66D" w14:textId="77777777" w:rsidR="00807083" w:rsidRDefault="00807083">
            <w:pPr>
              <w:keepNext/>
              <w:keepLines/>
              <w:spacing w:after="0" w:line="240" w:lineRule="auto"/>
            </w:pPr>
          </w:p>
        </w:tc>
        <w:tc>
          <w:tcPr>
            <w:tcW w:w="3180" w:type="dxa"/>
            <w:tcMar>
              <w:top w:w="0" w:type="dxa"/>
              <w:bottom w:w="0" w:type="dxa"/>
            </w:tcMar>
            <w:vAlign w:val="center"/>
          </w:tcPr>
          <w:p w14:paraId="43399617" w14:textId="77777777" w:rsidR="00807083" w:rsidRDefault="008A23A1">
            <w:pPr>
              <w:keepNext/>
              <w:keepLines/>
              <w:spacing w:after="0" w:line="240" w:lineRule="auto"/>
            </w:pPr>
            <w:r>
              <w:rPr>
                <w:b/>
                <w:sz w:val="18"/>
              </w:rPr>
              <w:t>VIŠAK/MANJAK PRIMITAKA OD FINANCIJSKE IMOVINE I ZADUŽIVANJA (šifre 8-5, 5-8)</w:t>
            </w:r>
          </w:p>
        </w:tc>
        <w:tc>
          <w:tcPr>
            <w:tcW w:w="700" w:type="dxa"/>
            <w:tcMar>
              <w:top w:w="0" w:type="dxa"/>
              <w:bottom w:w="0" w:type="dxa"/>
            </w:tcMar>
            <w:vAlign w:val="center"/>
          </w:tcPr>
          <w:p w14:paraId="133FB8D0" w14:textId="77777777" w:rsidR="00807083" w:rsidRDefault="008A23A1">
            <w:pPr>
              <w:keepNext/>
              <w:keepLines/>
              <w:spacing w:after="0" w:line="240" w:lineRule="auto"/>
            </w:pPr>
            <w:r>
              <w:rPr>
                <w:b/>
                <w:sz w:val="18"/>
              </w:rPr>
              <w:t>X003, Y003</w:t>
            </w:r>
          </w:p>
        </w:tc>
        <w:tc>
          <w:tcPr>
            <w:tcW w:w="1860" w:type="dxa"/>
            <w:tcMar>
              <w:top w:w="0" w:type="dxa"/>
              <w:bottom w:w="0" w:type="dxa"/>
            </w:tcMar>
            <w:vAlign w:val="center"/>
          </w:tcPr>
          <w:p w14:paraId="0EA1CFD8" w14:textId="77777777" w:rsidR="00807083" w:rsidRDefault="008A23A1">
            <w:pPr>
              <w:keepNext/>
              <w:keepLines/>
              <w:spacing w:after="0" w:line="240" w:lineRule="auto"/>
              <w:jc w:val="right"/>
            </w:pPr>
            <w:r>
              <w:rPr>
                <w:b/>
                <w:sz w:val="18"/>
              </w:rPr>
              <w:t>0,00</w:t>
            </w:r>
          </w:p>
        </w:tc>
        <w:tc>
          <w:tcPr>
            <w:tcW w:w="1860" w:type="dxa"/>
            <w:tcMar>
              <w:top w:w="0" w:type="dxa"/>
              <w:bottom w:w="0" w:type="dxa"/>
            </w:tcMar>
            <w:vAlign w:val="center"/>
          </w:tcPr>
          <w:p w14:paraId="70AF417F" w14:textId="77777777" w:rsidR="00807083" w:rsidRDefault="008A23A1">
            <w:pPr>
              <w:keepNext/>
              <w:keepLines/>
              <w:spacing w:after="0" w:line="240" w:lineRule="auto"/>
              <w:jc w:val="right"/>
            </w:pPr>
            <w:r>
              <w:rPr>
                <w:b/>
                <w:sz w:val="18"/>
              </w:rPr>
              <w:t>0,00</w:t>
            </w:r>
          </w:p>
        </w:tc>
        <w:tc>
          <w:tcPr>
            <w:tcW w:w="700" w:type="dxa"/>
            <w:tcMar>
              <w:top w:w="0" w:type="dxa"/>
              <w:bottom w:w="0" w:type="dxa"/>
            </w:tcMar>
            <w:vAlign w:val="center"/>
          </w:tcPr>
          <w:p w14:paraId="0E708F8A" w14:textId="77777777" w:rsidR="00807083" w:rsidRDefault="008A23A1">
            <w:pPr>
              <w:keepNext/>
              <w:keepLines/>
              <w:spacing w:after="0" w:line="240" w:lineRule="auto"/>
              <w:jc w:val="right"/>
            </w:pPr>
            <w:r>
              <w:rPr>
                <w:b/>
                <w:sz w:val="18"/>
              </w:rPr>
              <w:t>-</w:t>
            </w:r>
          </w:p>
        </w:tc>
      </w:tr>
      <w:tr w:rsidR="00807083" w14:paraId="6109F10B" w14:textId="77777777">
        <w:tblPrEx>
          <w:tblCellMar>
            <w:top w:w="0" w:type="dxa"/>
            <w:bottom w:w="0" w:type="dxa"/>
          </w:tblCellMar>
        </w:tblPrEx>
        <w:trPr>
          <w:cantSplit/>
          <w:trHeight w:val="560"/>
        </w:trPr>
        <w:tc>
          <w:tcPr>
            <w:tcW w:w="700" w:type="dxa"/>
            <w:tcMar>
              <w:top w:w="0" w:type="dxa"/>
              <w:bottom w:w="0" w:type="dxa"/>
            </w:tcMar>
            <w:vAlign w:val="center"/>
          </w:tcPr>
          <w:p w14:paraId="0B363B01" w14:textId="77777777" w:rsidR="00807083" w:rsidRDefault="00807083">
            <w:pPr>
              <w:keepNext/>
              <w:keepLines/>
              <w:spacing w:after="0" w:line="240" w:lineRule="auto"/>
            </w:pPr>
          </w:p>
        </w:tc>
        <w:tc>
          <w:tcPr>
            <w:tcW w:w="3180" w:type="dxa"/>
            <w:tcMar>
              <w:top w:w="0" w:type="dxa"/>
              <w:bottom w:w="0" w:type="dxa"/>
            </w:tcMar>
            <w:vAlign w:val="center"/>
          </w:tcPr>
          <w:p w14:paraId="3A82434C" w14:textId="77777777" w:rsidR="00807083" w:rsidRDefault="008A23A1">
            <w:pPr>
              <w:keepNext/>
              <w:keepLines/>
              <w:spacing w:after="0" w:line="240" w:lineRule="auto"/>
            </w:pPr>
            <w:r>
              <w:rPr>
                <w:b/>
                <w:sz w:val="18"/>
              </w:rPr>
              <w:t>VIŠAK PRIHODA I PRIMITAKA (šifre X678-Y345)</w:t>
            </w:r>
          </w:p>
        </w:tc>
        <w:tc>
          <w:tcPr>
            <w:tcW w:w="700" w:type="dxa"/>
            <w:tcMar>
              <w:top w:w="0" w:type="dxa"/>
              <w:bottom w:w="0" w:type="dxa"/>
            </w:tcMar>
            <w:vAlign w:val="center"/>
          </w:tcPr>
          <w:p w14:paraId="325C7B59" w14:textId="77777777" w:rsidR="00807083" w:rsidRDefault="008A23A1">
            <w:pPr>
              <w:keepNext/>
              <w:keepLines/>
              <w:spacing w:after="0" w:line="240" w:lineRule="auto"/>
            </w:pPr>
            <w:r>
              <w:rPr>
                <w:b/>
                <w:sz w:val="18"/>
              </w:rPr>
              <w:t>X005</w:t>
            </w:r>
          </w:p>
        </w:tc>
        <w:tc>
          <w:tcPr>
            <w:tcW w:w="1860" w:type="dxa"/>
            <w:tcMar>
              <w:top w:w="0" w:type="dxa"/>
              <w:bottom w:w="0" w:type="dxa"/>
            </w:tcMar>
            <w:vAlign w:val="center"/>
          </w:tcPr>
          <w:p w14:paraId="20F4DCC7" w14:textId="77777777" w:rsidR="00807083" w:rsidRDefault="008A23A1">
            <w:pPr>
              <w:keepNext/>
              <w:keepLines/>
              <w:spacing w:after="0" w:line="240" w:lineRule="auto"/>
              <w:jc w:val="right"/>
            </w:pPr>
            <w:r>
              <w:rPr>
                <w:b/>
                <w:sz w:val="18"/>
              </w:rPr>
              <w:t>0,00</w:t>
            </w:r>
          </w:p>
        </w:tc>
        <w:tc>
          <w:tcPr>
            <w:tcW w:w="1860" w:type="dxa"/>
            <w:tcMar>
              <w:top w:w="0" w:type="dxa"/>
              <w:bottom w:w="0" w:type="dxa"/>
            </w:tcMar>
            <w:vAlign w:val="center"/>
          </w:tcPr>
          <w:p w14:paraId="6CC670CB" w14:textId="77777777" w:rsidR="00807083" w:rsidRDefault="008A23A1">
            <w:pPr>
              <w:keepNext/>
              <w:keepLines/>
              <w:spacing w:after="0" w:line="240" w:lineRule="auto"/>
              <w:jc w:val="right"/>
            </w:pPr>
            <w:r>
              <w:rPr>
                <w:b/>
                <w:sz w:val="18"/>
              </w:rPr>
              <w:t>2.709.352,36</w:t>
            </w:r>
          </w:p>
        </w:tc>
        <w:tc>
          <w:tcPr>
            <w:tcW w:w="700" w:type="dxa"/>
            <w:tcMar>
              <w:top w:w="0" w:type="dxa"/>
              <w:bottom w:w="0" w:type="dxa"/>
            </w:tcMar>
            <w:vAlign w:val="center"/>
          </w:tcPr>
          <w:p w14:paraId="13E205EC" w14:textId="77777777" w:rsidR="00807083" w:rsidRDefault="008A23A1">
            <w:pPr>
              <w:keepNext/>
              <w:keepLines/>
              <w:spacing w:after="0" w:line="240" w:lineRule="auto"/>
              <w:jc w:val="right"/>
            </w:pPr>
            <w:r>
              <w:rPr>
                <w:b/>
                <w:sz w:val="18"/>
              </w:rPr>
              <w:t>-</w:t>
            </w:r>
          </w:p>
        </w:tc>
      </w:tr>
    </w:tbl>
    <w:p w14:paraId="557129AE" w14:textId="77777777" w:rsidR="00807083" w:rsidRDefault="00807083">
      <w:pPr>
        <w:spacing w:after="0"/>
      </w:pPr>
    </w:p>
    <w:p w14:paraId="7158ED9F" w14:textId="77777777" w:rsidR="00807083" w:rsidRDefault="008A23A1">
      <w:r>
        <w:t xml:space="preserve">Na temelju iskazanih podataka u obrascu PR-RAS za predmetno razdoblje, ostvaren je sljedeći financijski rezultat: Ukupni prihodi poslovanja (šifra 6) iznose 43,963,627.96 EUR, dok su ukupni rashodi poslovanja (šifra 3) iznosili 34,985,808.10 EUR, što je rezultiralo viškom prihoda poslovanja (šifra X001) u iznosu od 8,977,819.86 EUR. S obzirom da nije bilo prihoda od prodaje nefinancijske imovine (šifra 7), a rashodi za nabavu nefinancijske </w:t>
      </w:r>
      <w:r>
        <w:lastRenderedPageBreak/>
        <w:t>imovine (šifra 4) iznose 6,268,467.50 EUR, evidentiran je manjak prihoda od nefinancijske imovine (šifra Y002) u istom iznosu. </w:t>
      </w:r>
    </w:p>
    <w:p w14:paraId="7BA0DECD" w14:textId="77777777" w:rsidR="00807083" w:rsidRDefault="008A23A1">
      <w:r>
        <w:t>Kao konačan rezultat, višak prihoda i primitaka (šifra X004) iznosi  2,709,352.36 EUR.</w:t>
      </w:r>
    </w:p>
    <w:p w14:paraId="659049FE" w14:textId="77777777" w:rsidR="00807083" w:rsidRDefault="008A23A1">
      <w:r>
        <w:t> U ukupnim prihodima značajnije je povećanje prihoda na poziciji 6712 i odnosi se na sredstva iz nadležnog proračuna namijenjena financiranju rashoda za nabavu nefinancijske imovine. Naime, iako su rashodi u ukupnom iznosu od 4.964.507,50 EUR za ulaganja u infrastrukturu za servise za podršku informatizaciji visokih učilišta i smještaj video materijala, u okviru projekta „Digitalna preobrazba visokog obrazovanja – e-Sveučilišta“, evidentirani u 2024. godini, povezana proračunska sredstva doznačena su u 2025</w:t>
      </w:r>
      <w:r>
        <w:t>. godini, sukladno datumu dospijeća, čime su prihodi iskazani u ovoj godini. Također, dodatnih 196.200 EUR prihoda odnosi se na nadogradnje sustava u sklopu projekta „Cjelovita informatizacija sustava odgoja i obrazovanja (CISOO)”, za koje su također rashodi realizirani u prethodnoj godini. Zbog vremenskog nesklada između realizacije rashoda i priljeva proračunskih sredstava, došlo je do prijenosa prihoda u 2025. godinu, što je izravno utjecalo na povećanje prihoda iskazanih na ovoj poziciji. Sukladno novoj</w:t>
      </w:r>
      <w:r>
        <w:t xml:space="preserve"> metodologiji evidentiranja EU projekata, izvršena je korekcija financijskog rezultata.</w:t>
      </w:r>
    </w:p>
    <w:p w14:paraId="6B738849" w14:textId="77777777" w:rsidR="00807083" w:rsidRDefault="008A23A1">
      <w:r>
        <w:t> </w:t>
      </w:r>
    </w:p>
    <w:p w14:paraId="4A4051C1" w14:textId="77777777" w:rsidR="00807083" w:rsidRDefault="008A23A1">
      <w:r>
        <w:br/>
      </w:r>
    </w:p>
    <w:p w14:paraId="208D2F0F" w14:textId="77777777" w:rsidR="00807083" w:rsidRDefault="008A23A1">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670F876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3531309"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50E3024"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C598FD3"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2EF54B6"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291B9C3"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B903A0A" w14:textId="77777777" w:rsidR="00807083" w:rsidRDefault="008A23A1">
            <w:pPr>
              <w:keepNext/>
              <w:keepLines/>
              <w:spacing w:after="0" w:line="240" w:lineRule="auto"/>
              <w:jc w:val="center"/>
            </w:pPr>
            <w:r>
              <w:rPr>
                <w:b/>
                <w:sz w:val="18"/>
              </w:rPr>
              <w:t>Indeks (%)</w:t>
            </w:r>
          </w:p>
        </w:tc>
      </w:tr>
      <w:tr w:rsidR="00807083" w14:paraId="0BB549A7" w14:textId="77777777">
        <w:tblPrEx>
          <w:tblCellMar>
            <w:top w:w="0" w:type="dxa"/>
            <w:bottom w:w="0" w:type="dxa"/>
          </w:tblCellMar>
        </w:tblPrEx>
        <w:trPr>
          <w:cantSplit/>
          <w:trHeight w:val="560"/>
        </w:trPr>
        <w:tc>
          <w:tcPr>
            <w:tcW w:w="700" w:type="dxa"/>
            <w:tcMar>
              <w:top w:w="0" w:type="dxa"/>
              <w:bottom w:w="0" w:type="dxa"/>
            </w:tcMar>
            <w:vAlign w:val="center"/>
          </w:tcPr>
          <w:p w14:paraId="59CB0264" w14:textId="77777777" w:rsidR="00807083" w:rsidRDefault="008A23A1">
            <w:pPr>
              <w:keepNext/>
              <w:keepLines/>
              <w:spacing w:after="0" w:line="240" w:lineRule="auto"/>
            </w:pPr>
            <w:r>
              <w:rPr>
                <w:sz w:val="18"/>
              </w:rPr>
              <w:t>6</w:t>
            </w:r>
          </w:p>
        </w:tc>
        <w:tc>
          <w:tcPr>
            <w:tcW w:w="3180" w:type="dxa"/>
            <w:tcMar>
              <w:top w:w="0" w:type="dxa"/>
              <w:bottom w:w="0" w:type="dxa"/>
            </w:tcMar>
            <w:vAlign w:val="center"/>
          </w:tcPr>
          <w:p w14:paraId="5C278D18" w14:textId="77777777" w:rsidR="00807083" w:rsidRDefault="008A23A1">
            <w:pPr>
              <w:keepNext/>
              <w:keepLines/>
              <w:spacing w:after="0" w:line="240" w:lineRule="auto"/>
            </w:pPr>
            <w:r>
              <w:rPr>
                <w:sz w:val="18"/>
              </w:rPr>
              <w:t>PRIHODI POSLOVANJA (šifre 61+62+63+64+65+66+67+68)</w:t>
            </w:r>
          </w:p>
        </w:tc>
        <w:tc>
          <w:tcPr>
            <w:tcW w:w="700" w:type="dxa"/>
            <w:tcMar>
              <w:top w:w="0" w:type="dxa"/>
              <w:bottom w:w="0" w:type="dxa"/>
            </w:tcMar>
            <w:vAlign w:val="center"/>
          </w:tcPr>
          <w:p w14:paraId="745CB898" w14:textId="77777777" w:rsidR="00807083" w:rsidRDefault="008A23A1">
            <w:pPr>
              <w:keepNext/>
              <w:keepLines/>
              <w:spacing w:after="0" w:line="240" w:lineRule="auto"/>
            </w:pPr>
            <w:r>
              <w:rPr>
                <w:sz w:val="18"/>
              </w:rPr>
              <w:t>6</w:t>
            </w:r>
          </w:p>
        </w:tc>
        <w:tc>
          <w:tcPr>
            <w:tcW w:w="1860" w:type="dxa"/>
            <w:tcMar>
              <w:top w:w="0" w:type="dxa"/>
              <w:bottom w:w="0" w:type="dxa"/>
            </w:tcMar>
            <w:vAlign w:val="center"/>
          </w:tcPr>
          <w:p w14:paraId="2422881F" w14:textId="77777777" w:rsidR="00807083" w:rsidRDefault="008A23A1">
            <w:pPr>
              <w:keepNext/>
              <w:keepLines/>
              <w:spacing w:after="0" w:line="240" w:lineRule="auto"/>
              <w:jc w:val="right"/>
            </w:pPr>
            <w:r>
              <w:rPr>
                <w:sz w:val="18"/>
              </w:rPr>
              <w:t>32.052.252,16</w:t>
            </w:r>
          </w:p>
        </w:tc>
        <w:tc>
          <w:tcPr>
            <w:tcW w:w="1860" w:type="dxa"/>
            <w:tcMar>
              <w:top w:w="0" w:type="dxa"/>
              <w:bottom w:w="0" w:type="dxa"/>
            </w:tcMar>
            <w:vAlign w:val="center"/>
          </w:tcPr>
          <w:p w14:paraId="5BCCCC20" w14:textId="77777777" w:rsidR="00807083" w:rsidRDefault="008A23A1">
            <w:pPr>
              <w:keepNext/>
              <w:keepLines/>
              <w:spacing w:after="0" w:line="240" w:lineRule="auto"/>
              <w:jc w:val="right"/>
            </w:pPr>
            <w:r>
              <w:rPr>
                <w:sz w:val="18"/>
              </w:rPr>
              <w:t>43.963.627,96</w:t>
            </w:r>
          </w:p>
        </w:tc>
        <w:tc>
          <w:tcPr>
            <w:tcW w:w="700" w:type="dxa"/>
            <w:tcMar>
              <w:top w:w="0" w:type="dxa"/>
              <w:bottom w:w="0" w:type="dxa"/>
            </w:tcMar>
            <w:vAlign w:val="center"/>
          </w:tcPr>
          <w:p w14:paraId="5ABFD0AC" w14:textId="77777777" w:rsidR="00807083" w:rsidRDefault="008A23A1">
            <w:pPr>
              <w:keepNext/>
              <w:keepLines/>
              <w:spacing w:after="0" w:line="240" w:lineRule="auto"/>
              <w:jc w:val="right"/>
            </w:pPr>
            <w:r>
              <w:rPr>
                <w:sz w:val="18"/>
              </w:rPr>
              <w:t>137,2</w:t>
            </w:r>
          </w:p>
        </w:tc>
      </w:tr>
    </w:tbl>
    <w:p w14:paraId="44D7461D" w14:textId="77777777" w:rsidR="00807083" w:rsidRDefault="00807083">
      <w:pPr>
        <w:spacing w:after="0"/>
      </w:pPr>
    </w:p>
    <w:p w14:paraId="11A99417" w14:textId="77777777" w:rsidR="00807083" w:rsidRDefault="008A23A1">
      <w:r>
        <w:t>Najznačajnije povećanje prihoda na toj poziciji se odnosi na prihode iz nadležnog proračuna za financiranje rashoda za nabavu nefinancijske imovine do kojeg je došlo zbog ulaganja u infrastrukturu za servise za podršku informatizaciji visokih učilišta i smještaj video materijala financirano kroz projekt „Digitalna preobrazba visokog obrazovanja e-Sveučilišta.</w:t>
      </w:r>
    </w:p>
    <w:p w14:paraId="31A2E9C2" w14:textId="77777777" w:rsidR="00807083" w:rsidRDefault="00807083"/>
    <w:p w14:paraId="51EE822E" w14:textId="77777777" w:rsidR="00807083" w:rsidRDefault="008A23A1">
      <w:pPr>
        <w:keepNext/>
        <w:spacing w:line="240" w:lineRule="auto"/>
        <w:jc w:val="center"/>
      </w:pPr>
      <w:r>
        <w:rPr>
          <w:sz w:val="28"/>
        </w:rPr>
        <w:t>Bilješka 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187BA59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604FC39"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84CE48F"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8E91139"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046984A"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F4D2DE5"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EE669F4" w14:textId="77777777" w:rsidR="00807083" w:rsidRDefault="008A23A1">
            <w:pPr>
              <w:keepNext/>
              <w:keepLines/>
              <w:spacing w:after="0" w:line="240" w:lineRule="auto"/>
              <w:jc w:val="center"/>
            </w:pPr>
            <w:r>
              <w:rPr>
                <w:b/>
                <w:sz w:val="18"/>
              </w:rPr>
              <w:t>Indeks (%)</w:t>
            </w:r>
          </w:p>
        </w:tc>
      </w:tr>
      <w:tr w:rsidR="00807083" w14:paraId="6313AC1F" w14:textId="77777777">
        <w:tblPrEx>
          <w:tblCellMar>
            <w:top w:w="0" w:type="dxa"/>
            <w:bottom w:w="0" w:type="dxa"/>
          </w:tblCellMar>
        </w:tblPrEx>
        <w:trPr>
          <w:cantSplit/>
          <w:trHeight w:val="560"/>
        </w:trPr>
        <w:tc>
          <w:tcPr>
            <w:tcW w:w="700" w:type="dxa"/>
            <w:tcMar>
              <w:top w:w="0" w:type="dxa"/>
              <w:bottom w:w="0" w:type="dxa"/>
            </w:tcMar>
            <w:vAlign w:val="center"/>
          </w:tcPr>
          <w:p w14:paraId="5A8C2D5A" w14:textId="77777777" w:rsidR="00807083" w:rsidRDefault="008A23A1">
            <w:pPr>
              <w:keepNext/>
              <w:keepLines/>
              <w:spacing w:after="0" w:line="240" w:lineRule="auto"/>
            </w:pPr>
            <w:r>
              <w:rPr>
                <w:sz w:val="18"/>
              </w:rPr>
              <w:t>631</w:t>
            </w:r>
          </w:p>
        </w:tc>
        <w:tc>
          <w:tcPr>
            <w:tcW w:w="3180" w:type="dxa"/>
            <w:tcMar>
              <w:top w:w="0" w:type="dxa"/>
              <w:bottom w:w="0" w:type="dxa"/>
            </w:tcMar>
            <w:vAlign w:val="center"/>
          </w:tcPr>
          <w:p w14:paraId="4EB4C8EF" w14:textId="77777777" w:rsidR="00807083" w:rsidRDefault="008A23A1">
            <w:pPr>
              <w:keepNext/>
              <w:keepLines/>
              <w:spacing w:after="0" w:line="240" w:lineRule="auto"/>
            </w:pPr>
            <w:r>
              <w:rPr>
                <w:sz w:val="18"/>
              </w:rPr>
              <w:t>Pomoći od inozemnih vlada (šifre 6311+6312)</w:t>
            </w:r>
          </w:p>
        </w:tc>
        <w:tc>
          <w:tcPr>
            <w:tcW w:w="700" w:type="dxa"/>
            <w:tcMar>
              <w:top w:w="0" w:type="dxa"/>
              <w:bottom w:w="0" w:type="dxa"/>
            </w:tcMar>
            <w:vAlign w:val="center"/>
          </w:tcPr>
          <w:p w14:paraId="088D609B" w14:textId="77777777" w:rsidR="00807083" w:rsidRDefault="008A23A1">
            <w:pPr>
              <w:keepNext/>
              <w:keepLines/>
              <w:spacing w:after="0" w:line="240" w:lineRule="auto"/>
            </w:pPr>
            <w:r>
              <w:rPr>
                <w:sz w:val="18"/>
              </w:rPr>
              <w:t>631</w:t>
            </w:r>
          </w:p>
        </w:tc>
        <w:tc>
          <w:tcPr>
            <w:tcW w:w="1860" w:type="dxa"/>
            <w:tcMar>
              <w:top w:w="0" w:type="dxa"/>
              <w:bottom w:w="0" w:type="dxa"/>
            </w:tcMar>
            <w:vAlign w:val="center"/>
          </w:tcPr>
          <w:p w14:paraId="32BFBD60" w14:textId="77777777" w:rsidR="00807083" w:rsidRDefault="008A23A1">
            <w:pPr>
              <w:keepNext/>
              <w:keepLines/>
              <w:spacing w:after="0" w:line="240" w:lineRule="auto"/>
              <w:jc w:val="right"/>
            </w:pPr>
            <w:r>
              <w:rPr>
                <w:sz w:val="18"/>
              </w:rPr>
              <w:t>17.940,00</w:t>
            </w:r>
          </w:p>
        </w:tc>
        <w:tc>
          <w:tcPr>
            <w:tcW w:w="1860" w:type="dxa"/>
            <w:tcMar>
              <w:top w:w="0" w:type="dxa"/>
              <w:bottom w:w="0" w:type="dxa"/>
            </w:tcMar>
            <w:vAlign w:val="center"/>
          </w:tcPr>
          <w:p w14:paraId="00D0E605" w14:textId="77777777" w:rsidR="00807083" w:rsidRDefault="008A23A1">
            <w:pPr>
              <w:keepNext/>
              <w:keepLines/>
              <w:spacing w:after="0" w:line="240" w:lineRule="auto"/>
              <w:jc w:val="right"/>
            </w:pPr>
            <w:r>
              <w:rPr>
                <w:sz w:val="18"/>
              </w:rPr>
              <w:t>27.360,00</w:t>
            </w:r>
          </w:p>
        </w:tc>
        <w:tc>
          <w:tcPr>
            <w:tcW w:w="700" w:type="dxa"/>
            <w:tcMar>
              <w:top w:w="0" w:type="dxa"/>
              <w:bottom w:w="0" w:type="dxa"/>
            </w:tcMar>
            <w:vAlign w:val="center"/>
          </w:tcPr>
          <w:p w14:paraId="6914EEA2" w14:textId="77777777" w:rsidR="00807083" w:rsidRDefault="008A23A1">
            <w:pPr>
              <w:keepNext/>
              <w:keepLines/>
              <w:spacing w:after="0" w:line="240" w:lineRule="auto"/>
              <w:jc w:val="right"/>
            </w:pPr>
            <w:r>
              <w:rPr>
                <w:sz w:val="18"/>
              </w:rPr>
              <w:t>152,5</w:t>
            </w:r>
          </w:p>
        </w:tc>
      </w:tr>
    </w:tbl>
    <w:p w14:paraId="04BEFC74" w14:textId="77777777" w:rsidR="00807083" w:rsidRDefault="00807083">
      <w:pPr>
        <w:spacing w:after="0"/>
      </w:pPr>
    </w:p>
    <w:p w14:paraId="2DE7A3CA" w14:textId="77777777" w:rsidR="00807083" w:rsidRDefault="008A23A1">
      <w:r>
        <w:t xml:space="preserve">Na poziciji Tekuće pomoći od inozemnih vlada je došlo do povećanja jer je CARNET postao partner u projektu AISE koji je financiran iz linije financiranja Erasmus+. Projekt ima za cilj razviti i implementirati naprednu platformu u oblaku, temeljenu na umjetnoj inteligenciji, koja </w:t>
      </w:r>
      <w:r>
        <w:lastRenderedPageBreak/>
        <w:t>omogućuje prikupljanje, obradu i analizu nestrukturiranih obrazovnih podataka (npr. eseji, upitnici, domaće zadaće) s ciljem procjene uspješnosti učenika i unapređenja nastavnih procesa u srednjoškolskom obrazovanju.</w:t>
      </w:r>
    </w:p>
    <w:p w14:paraId="2A835852" w14:textId="77777777" w:rsidR="00807083" w:rsidRDefault="00807083"/>
    <w:p w14:paraId="0BE016C3" w14:textId="77777777" w:rsidR="00807083" w:rsidRDefault="008A23A1">
      <w:pPr>
        <w:keepNext/>
        <w:spacing w:line="240" w:lineRule="auto"/>
        <w:jc w:val="center"/>
      </w:pPr>
      <w:r>
        <w:rPr>
          <w:sz w:val="28"/>
        </w:rPr>
        <w:t>Bilješka 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065E389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ED5E991"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F6E3864"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2763091"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B31F528"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696C823"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188C0EE" w14:textId="77777777" w:rsidR="00807083" w:rsidRDefault="008A23A1">
            <w:pPr>
              <w:keepNext/>
              <w:keepLines/>
              <w:spacing w:after="0" w:line="240" w:lineRule="auto"/>
              <w:jc w:val="center"/>
            </w:pPr>
            <w:r>
              <w:rPr>
                <w:b/>
                <w:sz w:val="18"/>
              </w:rPr>
              <w:t>Indeks (%)</w:t>
            </w:r>
          </w:p>
        </w:tc>
      </w:tr>
      <w:tr w:rsidR="00807083" w14:paraId="36DA11E3" w14:textId="77777777">
        <w:tblPrEx>
          <w:tblCellMar>
            <w:top w:w="0" w:type="dxa"/>
            <w:bottom w:w="0" w:type="dxa"/>
          </w:tblCellMar>
        </w:tblPrEx>
        <w:trPr>
          <w:cantSplit/>
          <w:trHeight w:val="560"/>
        </w:trPr>
        <w:tc>
          <w:tcPr>
            <w:tcW w:w="700" w:type="dxa"/>
            <w:tcMar>
              <w:top w:w="0" w:type="dxa"/>
              <w:bottom w:w="0" w:type="dxa"/>
            </w:tcMar>
            <w:vAlign w:val="center"/>
          </w:tcPr>
          <w:p w14:paraId="67AEA3D1" w14:textId="77777777" w:rsidR="00807083" w:rsidRDefault="008A23A1">
            <w:pPr>
              <w:keepNext/>
              <w:keepLines/>
              <w:spacing w:after="0" w:line="240" w:lineRule="auto"/>
            </w:pPr>
            <w:r>
              <w:rPr>
                <w:sz w:val="18"/>
              </w:rPr>
              <w:t>632</w:t>
            </w:r>
          </w:p>
        </w:tc>
        <w:tc>
          <w:tcPr>
            <w:tcW w:w="3180" w:type="dxa"/>
            <w:tcMar>
              <w:top w:w="0" w:type="dxa"/>
              <w:bottom w:w="0" w:type="dxa"/>
            </w:tcMar>
            <w:vAlign w:val="center"/>
          </w:tcPr>
          <w:p w14:paraId="31CF7F63" w14:textId="77777777" w:rsidR="00807083" w:rsidRDefault="008A23A1">
            <w:pPr>
              <w:keepNext/>
              <w:keepLines/>
              <w:spacing w:after="0" w:line="240" w:lineRule="auto"/>
            </w:pPr>
            <w:r>
              <w:rPr>
                <w:sz w:val="18"/>
              </w:rPr>
              <w:t>Pomoći od međunarodnih organizacija te institucija i tijela EU (šifre 6321 do 6324)</w:t>
            </w:r>
          </w:p>
        </w:tc>
        <w:tc>
          <w:tcPr>
            <w:tcW w:w="700" w:type="dxa"/>
            <w:tcMar>
              <w:top w:w="0" w:type="dxa"/>
              <w:bottom w:w="0" w:type="dxa"/>
            </w:tcMar>
            <w:vAlign w:val="center"/>
          </w:tcPr>
          <w:p w14:paraId="0056D97A" w14:textId="77777777" w:rsidR="00807083" w:rsidRDefault="008A23A1">
            <w:pPr>
              <w:keepNext/>
              <w:keepLines/>
              <w:spacing w:after="0" w:line="240" w:lineRule="auto"/>
            </w:pPr>
            <w:r>
              <w:rPr>
                <w:sz w:val="18"/>
              </w:rPr>
              <w:t>632</w:t>
            </w:r>
          </w:p>
        </w:tc>
        <w:tc>
          <w:tcPr>
            <w:tcW w:w="1860" w:type="dxa"/>
            <w:tcMar>
              <w:top w:w="0" w:type="dxa"/>
              <w:bottom w:w="0" w:type="dxa"/>
            </w:tcMar>
            <w:vAlign w:val="center"/>
          </w:tcPr>
          <w:p w14:paraId="1EE1CF00" w14:textId="77777777" w:rsidR="00807083" w:rsidRDefault="008A23A1">
            <w:pPr>
              <w:keepNext/>
              <w:keepLines/>
              <w:spacing w:after="0" w:line="240" w:lineRule="auto"/>
              <w:jc w:val="right"/>
            </w:pPr>
            <w:r>
              <w:rPr>
                <w:sz w:val="18"/>
              </w:rPr>
              <w:t>11.546.790,93</w:t>
            </w:r>
          </w:p>
        </w:tc>
        <w:tc>
          <w:tcPr>
            <w:tcW w:w="1860" w:type="dxa"/>
            <w:tcMar>
              <w:top w:w="0" w:type="dxa"/>
              <w:bottom w:w="0" w:type="dxa"/>
            </w:tcMar>
            <w:vAlign w:val="center"/>
          </w:tcPr>
          <w:p w14:paraId="57CEF6E3" w14:textId="77777777" w:rsidR="00807083" w:rsidRDefault="008A23A1">
            <w:pPr>
              <w:keepNext/>
              <w:keepLines/>
              <w:spacing w:after="0" w:line="240" w:lineRule="auto"/>
              <w:jc w:val="right"/>
            </w:pPr>
            <w:r>
              <w:rPr>
                <w:sz w:val="18"/>
              </w:rPr>
              <w:t>294,00</w:t>
            </w:r>
          </w:p>
        </w:tc>
        <w:tc>
          <w:tcPr>
            <w:tcW w:w="700" w:type="dxa"/>
            <w:tcMar>
              <w:top w:w="0" w:type="dxa"/>
              <w:bottom w:w="0" w:type="dxa"/>
            </w:tcMar>
            <w:vAlign w:val="center"/>
          </w:tcPr>
          <w:p w14:paraId="39E23A0F" w14:textId="77777777" w:rsidR="00807083" w:rsidRDefault="008A23A1">
            <w:pPr>
              <w:keepNext/>
              <w:keepLines/>
              <w:spacing w:after="0" w:line="240" w:lineRule="auto"/>
              <w:jc w:val="right"/>
            </w:pPr>
            <w:r>
              <w:rPr>
                <w:sz w:val="18"/>
              </w:rPr>
              <w:t>0,0</w:t>
            </w:r>
          </w:p>
        </w:tc>
      </w:tr>
    </w:tbl>
    <w:p w14:paraId="66ED1365" w14:textId="77777777" w:rsidR="00807083" w:rsidRDefault="00807083">
      <w:pPr>
        <w:spacing w:after="0"/>
      </w:pPr>
    </w:p>
    <w:p w14:paraId="300DF30B" w14:textId="77777777" w:rsidR="00807083" w:rsidRDefault="008A23A1">
      <w:r>
        <w:t>Do smanjenja navedene pozicije je došlo uslijed nove klasifikacije i evidentiranja prihoda temeljem Pravilnika o proračunskom računovodstvu i računskom planu, jer su prihodi po izvorima 561 i 581 evidentirani na poziciji 6711 i 6712.</w:t>
      </w:r>
    </w:p>
    <w:p w14:paraId="2231AF4F" w14:textId="77777777" w:rsidR="00807083" w:rsidRDefault="00807083"/>
    <w:p w14:paraId="671F3A05" w14:textId="77777777" w:rsidR="00807083" w:rsidRDefault="008A23A1">
      <w:pPr>
        <w:keepNext/>
        <w:spacing w:line="240" w:lineRule="auto"/>
        <w:jc w:val="center"/>
      </w:pPr>
      <w:r>
        <w:rPr>
          <w:sz w:val="28"/>
        </w:rPr>
        <w:t>Bilješka 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1791847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401C73B"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344EE1C"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66F938B"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17C2080"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1F7A2A5"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4276D1C" w14:textId="77777777" w:rsidR="00807083" w:rsidRDefault="008A23A1">
            <w:pPr>
              <w:keepNext/>
              <w:keepLines/>
              <w:spacing w:after="0" w:line="240" w:lineRule="auto"/>
              <w:jc w:val="center"/>
            </w:pPr>
            <w:r>
              <w:rPr>
                <w:b/>
                <w:sz w:val="18"/>
              </w:rPr>
              <w:t>Indeks (%)</w:t>
            </w:r>
          </w:p>
        </w:tc>
      </w:tr>
      <w:tr w:rsidR="00807083" w14:paraId="76BB7B06" w14:textId="77777777">
        <w:tblPrEx>
          <w:tblCellMar>
            <w:top w:w="0" w:type="dxa"/>
            <w:bottom w:w="0" w:type="dxa"/>
          </w:tblCellMar>
        </w:tblPrEx>
        <w:trPr>
          <w:cantSplit/>
          <w:trHeight w:val="560"/>
        </w:trPr>
        <w:tc>
          <w:tcPr>
            <w:tcW w:w="700" w:type="dxa"/>
            <w:tcMar>
              <w:top w:w="0" w:type="dxa"/>
              <w:bottom w:w="0" w:type="dxa"/>
            </w:tcMar>
            <w:vAlign w:val="center"/>
          </w:tcPr>
          <w:p w14:paraId="4494ADE4" w14:textId="77777777" w:rsidR="00807083" w:rsidRDefault="008A23A1">
            <w:pPr>
              <w:keepNext/>
              <w:keepLines/>
              <w:spacing w:after="0" w:line="240" w:lineRule="auto"/>
            </w:pPr>
            <w:r>
              <w:rPr>
                <w:sz w:val="18"/>
              </w:rPr>
              <w:t>6391</w:t>
            </w:r>
          </w:p>
        </w:tc>
        <w:tc>
          <w:tcPr>
            <w:tcW w:w="3180" w:type="dxa"/>
            <w:tcMar>
              <w:top w:w="0" w:type="dxa"/>
              <w:bottom w:w="0" w:type="dxa"/>
            </w:tcMar>
            <w:vAlign w:val="center"/>
          </w:tcPr>
          <w:p w14:paraId="16DFCEAF" w14:textId="77777777" w:rsidR="00807083" w:rsidRDefault="008A23A1">
            <w:pPr>
              <w:keepNext/>
              <w:keepLines/>
              <w:spacing w:after="0" w:line="240" w:lineRule="auto"/>
            </w:pPr>
            <w:r>
              <w:rPr>
                <w:sz w:val="18"/>
              </w:rPr>
              <w:t>Tekući prijenosi između proračunskih korisnika istog proračuna</w:t>
            </w:r>
          </w:p>
        </w:tc>
        <w:tc>
          <w:tcPr>
            <w:tcW w:w="700" w:type="dxa"/>
            <w:tcMar>
              <w:top w:w="0" w:type="dxa"/>
              <w:bottom w:w="0" w:type="dxa"/>
            </w:tcMar>
            <w:vAlign w:val="center"/>
          </w:tcPr>
          <w:p w14:paraId="2308D4A9" w14:textId="77777777" w:rsidR="00807083" w:rsidRDefault="008A23A1">
            <w:pPr>
              <w:keepNext/>
              <w:keepLines/>
              <w:spacing w:after="0" w:line="240" w:lineRule="auto"/>
            </w:pPr>
            <w:r>
              <w:rPr>
                <w:sz w:val="18"/>
              </w:rPr>
              <w:t>6391</w:t>
            </w:r>
          </w:p>
        </w:tc>
        <w:tc>
          <w:tcPr>
            <w:tcW w:w="1860" w:type="dxa"/>
            <w:tcMar>
              <w:top w:w="0" w:type="dxa"/>
              <w:bottom w:w="0" w:type="dxa"/>
            </w:tcMar>
            <w:vAlign w:val="center"/>
          </w:tcPr>
          <w:p w14:paraId="24D31D01" w14:textId="77777777" w:rsidR="00807083" w:rsidRDefault="008A23A1">
            <w:pPr>
              <w:keepNext/>
              <w:keepLines/>
              <w:spacing w:after="0" w:line="240" w:lineRule="auto"/>
              <w:jc w:val="right"/>
            </w:pPr>
            <w:r>
              <w:rPr>
                <w:sz w:val="18"/>
              </w:rPr>
              <w:t>10.000,00</w:t>
            </w:r>
          </w:p>
        </w:tc>
        <w:tc>
          <w:tcPr>
            <w:tcW w:w="1860" w:type="dxa"/>
            <w:tcMar>
              <w:top w:w="0" w:type="dxa"/>
              <w:bottom w:w="0" w:type="dxa"/>
            </w:tcMar>
            <w:vAlign w:val="center"/>
          </w:tcPr>
          <w:p w14:paraId="520C7F63" w14:textId="77777777" w:rsidR="00807083" w:rsidRDefault="008A23A1">
            <w:pPr>
              <w:keepNext/>
              <w:keepLines/>
              <w:spacing w:after="0" w:line="240" w:lineRule="auto"/>
              <w:jc w:val="right"/>
            </w:pPr>
            <w:r>
              <w:rPr>
                <w:sz w:val="18"/>
              </w:rPr>
              <w:t>0,00</w:t>
            </w:r>
          </w:p>
        </w:tc>
        <w:tc>
          <w:tcPr>
            <w:tcW w:w="700" w:type="dxa"/>
            <w:tcMar>
              <w:top w:w="0" w:type="dxa"/>
              <w:bottom w:w="0" w:type="dxa"/>
            </w:tcMar>
            <w:vAlign w:val="center"/>
          </w:tcPr>
          <w:p w14:paraId="447FD281" w14:textId="77777777" w:rsidR="00807083" w:rsidRDefault="008A23A1">
            <w:pPr>
              <w:keepNext/>
              <w:keepLines/>
              <w:spacing w:after="0" w:line="240" w:lineRule="auto"/>
              <w:jc w:val="right"/>
            </w:pPr>
            <w:r>
              <w:rPr>
                <w:sz w:val="18"/>
              </w:rPr>
              <w:t>0</w:t>
            </w:r>
          </w:p>
        </w:tc>
      </w:tr>
    </w:tbl>
    <w:p w14:paraId="116B7F0E" w14:textId="77777777" w:rsidR="00807083" w:rsidRDefault="00807083">
      <w:pPr>
        <w:spacing w:after="0"/>
      </w:pPr>
    </w:p>
    <w:p w14:paraId="63F608E3" w14:textId="77777777" w:rsidR="00807083" w:rsidRDefault="008A23A1">
      <w:r>
        <w:t>Tijekom 2024. godine na kontu 6393 evidentirana su sredstva dodijeljena od strane Ministarstva znanosti, obrazovanja i mladih za sufinanciranje sudjelovanja učenika, hrvatskih predstavnika, na Europskom natjecanju iz kibernetičke sigurnosti. Sredstva su korištena namjenski, sukladno odobrenoj svrsi. U 2025. godini na kontu 6393 nije bilo poslovnih promjena niti ostvarenih prihoda.</w:t>
      </w:r>
    </w:p>
    <w:p w14:paraId="70BFCD45" w14:textId="77777777" w:rsidR="00807083" w:rsidRDefault="00807083"/>
    <w:p w14:paraId="0932C3FC" w14:textId="77777777" w:rsidR="00807083" w:rsidRDefault="008A23A1">
      <w:pPr>
        <w:keepNext/>
        <w:spacing w:line="240" w:lineRule="auto"/>
        <w:jc w:val="center"/>
      </w:pPr>
      <w:r>
        <w:rPr>
          <w:sz w:val="28"/>
        </w:rPr>
        <w:t>Bilješka 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47BBE93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B954E05"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9DF0DDA"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D233DBB"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C043175"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7EA3F87"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093F8C9" w14:textId="77777777" w:rsidR="00807083" w:rsidRDefault="008A23A1">
            <w:pPr>
              <w:keepNext/>
              <w:keepLines/>
              <w:spacing w:after="0" w:line="240" w:lineRule="auto"/>
              <w:jc w:val="center"/>
            </w:pPr>
            <w:r>
              <w:rPr>
                <w:b/>
                <w:sz w:val="18"/>
              </w:rPr>
              <w:t>Indeks (%)</w:t>
            </w:r>
          </w:p>
        </w:tc>
      </w:tr>
      <w:tr w:rsidR="00807083" w14:paraId="38822A19" w14:textId="77777777">
        <w:tblPrEx>
          <w:tblCellMar>
            <w:top w:w="0" w:type="dxa"/>
            <w:bottom w:w="0" w:type="dxa"/>
          </w:tblCellMar>
        </w:tblPrEx>
        <w:trPr>
          <w:cantSplit/>
          <w:trHeight w:val="560"/>
        </w:trPr>
        <w:tc>
          <w:tcPr>
            <w:tcW w:w="700" w:type="dxa"/>
            <w:tcMar>
              <w:top w:w="0" w:type="dxa"/>
              <w:bottom w:w="0" w:type="dxa"/>
            </w:tcMar>
            <w:vAlign w:val="center"/>
          </w:tcPr>
          <w:p w14:paraId="0EEEFE03" w14:textId="77777777" w:rsidR="00807083" w:rsidRDefault="008A23A1">
            <w:pPr>
              <w:keepNext/>
              <w:keepLines/>
              <w:spacing w:after="0" w:line="240" w:lineRule="auto"/>
            </w:pPr>
            <w:r>
              <w:rPr>
                <w:sz w:val="18"/>
              </w:rPr>
              <w:t>6392</w:t>
            </w:r>
          </w:p>
        </w:tc>
        <w:tc>
          <w:tcPr>
            <w:tcW w:w="3180" w:type="dxa"/>
            <w:tcMar>
              <w:top w:w="0" w:type="dxa"/>
              <w:bottom w:w="0" w:type="dxa"/>
            </w:tcMar>
            <w:vAlign w:val="center"/>
          </w:tcPr>
          <w:p w14:paraId="019370EA" w14:textId="77777777" w:rsidR="00807083" w:rsidRDefault="008A23A1">
            <w:pPr>
              <w:keepNext/>
              <w:keepLines/>
              <w:spacing w:after="0" w:line="240" w:lineRule="auto"/>
            </w:pPr>
            <w:r>
              <w:rPr>
                <w:sz w:val="18"/>
              </w:rPr>
              <w:t>Kapitalni prijenosi između proračunskih korisnika istog proračuna</w:t>
            </w:r>
          </w:p>
        </w:tc>
        <w:tc>
          <w:tcPr>
            <w:tcW w:w="700" w:type="dxa"/>
            <w:tcMar>
              <w:top w:w="0" w:type="dxa"/>
              <w:bottom w:w="0" w:type="dxa"/>
            </w:tcMar>
            <w:vAlign w:val="center"/>
          </w:tcPr>
          <w:p w14:paraId="105F80DA" w14:textId="77777777" w:rsidR="00807083" w:rsidRDefault="008A23A1">
            <w:pPr>
              <w:keepNext/>
              <w:keepLines/>
              <w:spacing w:after="0" w:line="240" w:lineRule="auto"/>
            </w:pPr>
            <w:r>
              <w:rPr>
                <w:sz w:val="18"/>
              </w:rPr>
              <w:t>6392</w:t>
            </w:r>
          </w:p>
        </w:tc>
        <w:tc>
          <w:tcPr>
            <w:tcW w:w="1860" w:type="dxa"/>
            <w:tcMar>
              <w:top w:w="0" w:type="dxa"/>
              <w:bottom w:w="0" w:type="dxa"/>
            </w:tcMar>
            <w:vAlign w:val="center"/>
          </w:tcPr>
          <w:p w14:paraId="3ADED562" w14:textId="77777777" w:rsidR="00807083" w:rsidRDefault="008A23A1">
            <w:pPr>
              <w:keepNext/>
              <w:keepLines/>
              <w:spacing w:after="0" w:line="240" w:lineRule="auto"/>
              <w:jc w:val="right"/>
            </w:pPr>
            <w:r>
              <w:rPr>
                <w:sz w:val="18"/>
              </w:rPr>
              <w:t>0,00</w:t>
            </w:r>
          </w:p>
        </w:tc>
        <w:tc>
          <w:tcPr>
            <w:tcW w:w="1860" w:type="dxa"/>
            <w:tcMar>
              <w:top w:w="0" w:type="dxa"/>
              <w:bottom w:w="0" w:type="dxa"/>
            </w:tcMar>
            <w:vAlign w:val="center"/>
          </w:tcPr>
          <w:p w14:paraId="11ACD9B2" w14:textId="77777777" w:rsidR="00807083" w:rsidRDefault="008A23A1">
            <w:pPr>
              <w:keepNext/>
              <w:keepLines/>
              <w:spacing w:after="0" w:line="240" w:lineRule="auto"/>
              <w:jc w:val="right"/>
            </w:pPr>
            <w:r>
              <w:rPr>
                <w:sz w:val="18"/>
              </w:rPr>
              <w:t>9.230,81</w:t>
            </w:r>
          </w:p>
        </w:tc>
        <w:tc>
          <w:tcPr>
            <w:tcW w:w="700" w:type="dxa"/>
            <w:tcMar>
              <w:top w:w="0" w:type="dxa"/>
              <w:bottom w:w="0" w:type="dxa"/>
            </w:tcMar>
            <w:vAlign w:val="center"/>
          </w:tcPr>
          <w:p w14:paraId="2F284F97" w14:textId="77777777" w:rsidR="00807083" w:rsidRDefault="008A23A1">
            <w:pPr>
              <w:keepNext/>
              <w:keepLines/>
              <w:spacing w:after="0" w:line="240" w:lineRule="auto"/>
              <w:jc w:val="right"/>
            </w:pPr>
            <w:r>
              <w:rPr>
                <w:sz w:val="18"/>
              </w:rPr>
              <w:t>-</w:t>
            </w:r>
          </w:p>
        </w:tc>
      </w:tr>
    </w:tbl>
    <w:p w14:paraId="7495DD8A" w14:textId="77777777" w:rsidR="00807083" w:rsidRDefault="00807083">
      <w:pPr>
        <w:spacing w:after="0"/>
      </w:pPr>
    </w:p>
    <w:p w14:paraId="3460FCE1" w14:textId="77777777" w:rsidR="00807083" w:rsidRDefault="008A23A1">
      <w:r>
        <w:t>Tijekom 2025. godine na kontu 6392 evidentirana su sredstva temeljem ugovora sklopljenog sa Zavodom za vještačenje, profesionalnu rehabilitaciju i zapošljavanje osoba s invaliditetom, a odnose se na sufinanciranje troškova prilagodbe uvjeta rada, odnosno tehničke prilagodbe radnog mjesta za osobu s invaliditetom. Sredstva su korištena namjenski, sukladno odredbama ugovora.</w:t>
      </w:r>
    </w:p>
    <w:p w14:paraId="07D2266C" w14:textId="77777777" w:rsidR="00807083" w:rsidRDefault="00807083"/>
    <w:p w14:paraId="2418B92E" w14:textId="77777777" w:rsidR="00807083" w:rsidRDefault="008A23A1">
      <w:pPr>
        <w:keepNext/>
        <w:spacing w:line="240" w:lineRule="auto"/>
        <w:jc w:val="center"/>
      </w:pPr>
      <w:r>
        <w:rPr>
          <w:sz w:val="28"/>
        </w:rPr>
        <w:lastRenderedPageBreak/>
        <w:t>Bilješka 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02FFC49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384D92C"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A8C676A"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7684610"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654DE0D"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0D79DDF"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AD0454F" w14:textId="77777777" w:rsidR="00807083" w:rsidRDefault="008A23A1">
            <w:pPr>
              <w:keepNext/>
              <w:keepLines/>
              <w:spacing w:after="0" w:line="240" w:lineRule="auto"/>
              <w:jc w:val="center"/>
            </w:pPr>
            <w:r>
              <w:rPr>
                <w:b/>
                <w:sz w:val="18"/>
              </w:rPr>
              <w:t>Indeks (%)</w:t>
            </w:r>
          </w:p>
        </w:tc>
      </w:tr>
      <w:tr w:rsidR="00807083" w14:paraId="5D0F5B98" w14:textId="77777777">
        <w:tblPrEx>
          <w:tblCellMar>
            <w:top w:w="0" w:type="dxa"/>
            <w:bottom w:w="0" w:type="dxa"/>
          </w:tblCellMar>
        </w:tblPrEx>
        <w:trPr>
          <w:cantSplit/>
          <w:trHeight w:val="560"/>
        </w:trPr>
        <w:tc>
          <w:tcPr>
            <w:tcW w:w="700" w:type="dxa"/>
            <w:tcMar>
              <w:top w:w="0" w:type="dxa"/>
              <w:bottom w:w="0" w:type="dxa"/>
            </w:tcMar>
            <w:vAlign w:val="center"/>
          </w:tcPr>
          <w:p w14:paraId="29267781" w14:textId="77777777" w:rsidR="00807083" w:rsidRDefault="008A23A1">
            <w:pPr>
              <w:keepNext/>
              <w:keepLines/>
              <w:spacing w:after="0" w:line="240" w:lineRule="auto"/>
            </w:pPr>
            <w:r>
              <w:rPr>
                <w:sz w:val="18"/>
              </w:rPr>
              <w:t>66</w:t>
            </w:r>
          </w:p>
        </w:tc>
        <w:tc>
          <w:tcPr>
            <w:tcW w:w="3180" w:type="dxa"/>
            <w:tcMar>
              <w:top w:w="0" w:type="dxa"/>
              <w:bottom w:w="0" w:type="dxa"/>
            </w:tcMar>
            <w:vAlign w:val="center"/>
          </w:tcPr>
          <w:p w14:paraId="43C359BF" w14:textId="77777777" w:rsidR="00807083" w:rsidRDefault="008A23A1">
            <w:pPr>
              <w:keepNext/>
              <w:keepLines/>
              <w:spacing w:after="0" w:line="240" w:lineRule="auto"/>
            </w:pPr>
            <w:r>
              <w:rPr>
                <w:sz w:val="18"/>
              </w:rPr>
              <w:t>Prihodi od prodaje proizvoda i robe te pruženih usluga, prihodi od donacija te povrati po protestiranim jamstvima (šifre 661+663)</w:t>
            </w:r>
          </w:p>
        </w:tc>
        <w:tc>
          <w:tcPr>
            <w:tcW w:w="700" w:type="dxa"/>
            <w:tcMar>
              <w:top w:w="0" w:type="dxa"/>
              <w:bottom w:w="0" w:type="dxa"/>
            </w:tcMar>
            <w:vAlign w:val="center"/>
          </w:tcPr>
          <w:p w14:paraId="3856C29D" w14:textId="77777777" w:rsidR="00807083" w:rsidRDefault="008A23A1">
            <w:pPr>
              <w:keepNext/>
              <w:keepLines/>
              <w:spacing w:after="0" w:line="240" w:lineRule="auto"/>
            </w:pPr>
            <w:r>
              <w:rPr>
                <w:sz w:val="18"/>
              </w:rPr>
              <w:t>66</w:t>
            </w:r>
          </w:p>
        </w:tc>
        <w:tc>
          <w:tcPr>
            <w:tcW w:w="1860" w:type="dxa"/>
            <w:tcMar>
              <w:top w:w="0" w:type="dxa"/>
              <w:bottom w:w="0" w:type="dxa"/>
            </w:tcMar>
            <w:vAlign w:val="center"/>
          </w:tcPr>
          <w:p w14:paraId="7374CCC9" w14:textId="77777777" w:rsidR="00807083" w:rsidRDefault="008A23A1">
            <w:pPr>
              <w:keepNext/>
              <w:keepLines/>
              <w:spacing w:after="0" w:line="240" w:lineRule="auto"/>
              <w:jc w:val="right"/>
            </w:pPr>
            <w:r>
              <w:rPr>
                <w:sz w:val="18"/>
              </w:rPr>
              <w:t>283.637,06</w:t>
            </w:r>
          </w:p>
        </w:tc>
        <w:tc>
          <w:tcPr>
            <w:tcW w:w="1860" w:type="dxa"/>
            <w:tcMar>
              <w:top w:w="0" w:type="dxa"/>
              <w:bottom w:w="0" w:type="dxa"/>
            </w:tcMar>
            <w:vAlign w:val="center"/>
          </w:tcPr>
          <w:p w14:paraId="62E12D5C" w14:textId="77777777" w:rsidR="00807083" w:rsidRDefault="008A23A1">
            <w:pPr>
              <w:keepNext/>
              <w:keepLines/>
              <w:spacing w:after="0" w:line="240" w:lineRule="auto"/>
              <w:jc w:val="right"/>
            </w:pPr>
            <w:r>
              <w:rPr>
                <w:sz w:val="18"/>
              </w:rPr>
              <w:t>576.434,41</w:t>
            </w:r>
          </w:p>
        </w:tc>
        <w:tc>
          <w:tcPr>
            <w:tcW w:w="700" w:type="dxa"/>
            <w:tcMar>
              <w:top w:w="0" w:type="dxa"/>
              <w:bottom w:w="0" w:type="dxa"/>
            </w:tcMar>
            <w:vAlign w:val="center"/>
          </w:tcPr>
          <w:p w14:paraId="73960374" w14:textId="77777777" w:rsidR="00807083" w:rsidRDefault="008A23A1">
            <w:pPr>
              <w:keepNext/>
              <w:keepLines/>
              <w:spacing w:after="0" w:line="240" w:lineRule="auto"/>
              <w:jc w:val="right"/>
            </w:pPr>
            <w:r>
              <w:rPr>
                <w:sz w:val="18"/>
              </w:rPr>
              <w:t>203,2</w:t>
            </w:r>
          </w:p>
        </w:tc>
      </w:tr>
    </w:tbl>
    <w:p w14:paraId="3139CA22" w14:textId="77777777" w:rsidR="00807083" w:rsidRDefault="00807083">
      <w:pPr>
        <w:spacing w:after="0"/>
      </w:pPr>
    </w:p>
    <w:p w14:paraId="110C541E" w14:textId="77777777" w:rsidR="00807083" w:rsidRDefault="008A23A1">
      <w:r>
        <w:t>Na poziciji prihodi za tekuće donacije je došlo do povećanja u odnosu na isto razdoblje prošle godine. Razlog povećanju je uplata za projekt GEANT 5-2, u iznosu od 390.400,00 eura, završna isplata za projekt GEANT 5-1 u iznosu od 126.529,11, uplata za projekt ZoomIn4PinkHats u iznosu od 47.500,00 eura koji je nagrađen kao inovativni projekt u sklopu programa GEANT Innovation Programme u 2024, te uplata Filozofskog fakulteta u Zagrebu za Tehničku pripremu programa Premise u iznosu od 12.000,00 eura.</w:t>
      </w:r>
    </w:p>
    <w:p w14:paraId="2103CD9B" w14:textId="77777777" w:rsidR="00807083" w:rsidRDefault="00807083"/>
    <w:p w14:paraId="29F36A75" w14:textId="77777777" w:rsidR="00807083" w:rsidRDefault="008A23A1">
      <w:pPr>
        <w:keepNext/>
        <w:spacing w:line="240" w:lineRule="auto"/>
        <w:jc w:val="center"/>
      </w:pPr>
      <w:r>
        <w:rPr>
          <w:sz w:val="28"/>
        </w:rPr>
        <w:t>Bilješka 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68616AD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A47D85A"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143EA55"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5819F9D"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8D5109F"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0EB5B49"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019C9DA" w14:textId="77777777" w:rsidR="00807083" w:rsidRDefault="008A23A1">
            <w:pPr>
              <w:keepNext/>
              <w:keepLines/>
              <w:spacing w:after="0" w:line="240" w:lineRule="auto"/>
              <w:jc w:val="center"/>
            </w:pPr>
            <w:r>
              <w:rPr>
                <w:b/>
                <w:sz w:val="18"/>
              </w:rPr>
              <w:t>Indeks (%)</w:t>
            </w:r>
          </w:p>
        </w:tc>
      </w:tr>
      <w:tr w:rsidR="00807083" w14:paraId="0633FE60" w14:textId="77777777">
        <w:tblPrEx>
          <w:tblCellMar>
            <w:top w:w="0" w:type="dxa"/>
            <w:bottom w:w="0" w:type="dxa"/>
          </w:tblCellMar>
        </w:tblPrEx>
        <w:trPr>
          <w:cantSplit/>
          <w:trHeight w:val="560"/>
        </w:trPr>
        <w:tc>
          <w:tcPr>
            <w:tcW w:w="700" w:type="dxa"/>
            <w:tcMar>
              <w:top w:w="0" w:type="dxa"/>
              <w:bottom w:w="0" w:type="dxa"/>
            </w:tcMar>
            <w:vAlign w:val="center"/>
          </w:tcPr>
          <w:p w14:paraId="7C4D82BD" w14:textId="77777777" w:rsidR="00807083" w:rsidRDefault="008A23A1">
            <w:pPr>
              <w:keepNext/>
              <w:keepLines/>
              <w:spacing w:after="0" w:line="240" w:lineRule="auto"/>
            </w:pPr>
            <w:r>
              <w:rPr>
                <w:sz w:val="18"/>
              </w:rPr>
              <w:t>671</w:t>
            </w:r>
          </w:p>
        </w:tc>
        <w:tc>
          <w:tcPr>
            <w:tcW w:w="3180" w:type="dxa"/>
            <w:tcMar>
              <w:top w:w="0" w:type="dxa"/>
              <w:bottom w:w="0" w:type="dxa"/>
            </w:tcMar>
            <w:vAlign w:val="center"/>
          </w:tcPr>
          <w:p w14:paraId="449D806D" w14:textId="77777777" w:rsidR="00807083" w:rsidRDefault="008A23A1">
            <w:pPr>
              <w:keepNext/>
              <w:keepLines/>
              <w:spacing w:after="0" w:line="240" w:lineRule="auto"/>
            </w:pPr>
            <w:r>
              <w:rPr>
                <w:sz w:val="18"/>
              </w:rPr>
              <w:t>Prihodi iz nadležnog proračuna za financiranje redovne djelatnosti proračunskih korisnika (šifre 6711 do 6714)</w:t>
            </w:r>
          </w:p>
        </w:tc>
        <w:tc>
          <w:tcPr>
            <w:tcW w:w="700" w:type="dxa"/>
            <w:tcMar>
              <w:top w:w="0" w:type="dxa"/>
              <w:bottom w:w="0" w:type="dxa"/>
            </w:tcMar>
            <w:vAlign w:val="center"/>
          </w:tcPr>
          <w:p w14:paraId="6954A17F" w14:textId="77777777" w:rsidR="00807083" w:rsidRDefault="008A23A1">
            <w:pPr>
              <w:keepNext/>
              <w:keepLines/>
              <w:spacing w:after="0" w:line="240" w:lineRule="auto"/>
            </w:pPr>
            <w:r>
              <w:rPr>
                <w:sz w:val="18"/>
              </w:rPr>
              <w:t>671</w:t>
            </w:r>
          </w:p>
        </w:tc>
        <w:tc>
          <w:tcPr>
            <w:tcW w:w="1860" w:type="dxa"/>
            <w:tcMar>
              <w:top w:w="0" w:type="dxa"/>
              <w:bottom w:w="0" w:type="dxa"/>
            </w:tcMar>
            <w:vAlign w:val="center"/>
          </w:tcPr>
          <w:p w14:paraId="6EC48569" w14:textId="77777777" w:rsidR="00807083" w:rsidRDefault="008A23A1">
            <w:pPr>
              <w:keepNext/>
              <w:keepLines/>
              <w:spacing w:after="0" w:line="240" w:lineRule="auto"/>
              <w:jc w:val="right"/>
            </w:pPr>
            <w:r>
              <w:rPr>
                <w:sz w:val="18"/>
              </w:rPr>
              <w:t>18.157.610,78</w:t>
            </w:r>
          </w:p>
        </w:tc>
        <w:tc>
          <w:tcPr>
            <w:tcW w:w="1860" w:type="dxa"/>
            <w:tcMar>
              <w:top w:w="0" w:type="dxa"/>
              <w:bottom w:w="0" w:type="dxa"/>
            </w:tcMar>
            <w:vAlign w:val="center"/>
          </w:tcPr>
          <w:p w14:paraId="043F0C27" w14:textId="77777777" w:rsidR="00807083" w:rsidRDefault="008A23A1">
            <w:pPr>
              <w:keepNext/>
              <w:keepLines/>
              <w:spacing w:after="0" w:line="240" w:lineRule="auto"/>
              <w:jc w:val="right"/>
            </w:pPr>
            <w:r>
              <w:rPr>
                <w:sz w:val="18"/>
              </w:rPr>
              <w:t>41.236.834,37</w:t>
            </w:r>
          </w:p>
        </w:tc>
        <w:tc>
          <w:tcPr>
            <w:tcW w:w="700" w:type="dxa"/>
            <w:tcMar>
              <w:top w:w="0" w:type="dxa"/>
              <w:bottom w:w="0" w:type="dxa"/>
            </w:tcMar>
            <w:vAlign w:val="center"/>
          </w:tcPr>
          <w:p w14:paraId="01C1E327" w14:textId="77777777" w:rsidR="00807083" w:rsidRDefault="008A23A1">
            <w:pPr>
              <w:keepNext/>
              <w:keepLines/>
              <w:spacing w:after="0" w:line="240" w:lineRule="auto"/>
              <w:jc w:val="right"/>
            </w:pPr>
            <w:r>
              <w:rPr>
                <w:sz w:val="18"/>
              </w:rPr>
              <w:t>227,1</w:t>
            </w:r>
          </w:p>
        </w:tc>
      </w:tr>
    </w:tbl>
    <w:p w14:paraId="13B26CFD" w14:textId="77777777" w:rsidR="00807083" w:rsidRDefault="00807083">
      <w:pPr>
        <w:spacing w:after="0"/>
      </w:pPr>
    </w:p>
    <w:p w14:paraId="3F0BF4A7" w14:textId="77777777" w:rsidR="00807083" w:rsidRDefault="008A23A1">
      <w:r>
        <w:t>Navedeni iznos odnosi se na sredstva isplaćena u tekućem obračunskom razdoblju za pokriće rashoda koji su teretili prethodno obračunsko razdoblje (prijenos terećenja iz 2024. godine), te za pokriće planiranih rashoda 2025. Porast pozicije u odnosu na isto razdoblje lani odnosi se nove klasifikacije i evidentiranje prihoda temeljem Pravilnika o proračunskom računovodstvu i računskom planu. Od 01.01.2025. godine se prihodi evidentirani na poziciji 632 evidentiraju na poziciji 671 za izvore 561 i 581. Najznača</w:t>
      </w:r>
      <w:r>
        <w:t>jnije povećanje prihoda na toj poziciji se odnosi na prihode iz nadležnog proračuna za financiranje rashoda za nabavu nefinancijske imovine (šifra 6712) do kojeg je došlo zbog ulaganja u infrastrukturu za servise za podršku informatizaciji visokih učilišta i smještaj video materijala financirano kroz projekt „Digitalna preobrazba visokog obrazovanja e-Sveučilišta.</w:t>
      </w:r>
    </w:p>
    <w:p w14:paraId="48B57196" w14:textId="77777777" w:rsidR="00807083" w:rsidRDefault="00807083"/>
    <w:p w14:paraId="73D37196" w14:textId="77777777" w:rsidR="00807083" w:rsidRDefault="008A23A1">
      <w:pPr>
        <w:keepNext/>
        <w:spacing w:line="240" w:lineRule="auto"/>
        <w:jc w:val="center"/>
      </w:pPr>
      <w:r>
        <w:rPr>
          <w:sz w:val="28"/>
        </w:rPr>
        <w:t>Bilješka 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45803BA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1B98F7D"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6C27BF7"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E1A6622"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5CCF10F"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2488398"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2ED526E" w14:textId="77777777" w:rsidR="00807083" w:rsidRDefault="008A23A1">
            <w:pPr>
              <w:keepNext/>
              <w:keepLines/>
              <w:spacing w:after="0" w:line="240" w:lineRule="auto"/>
              <w:jc w:val="center"/>
            </w:pPr>
            <w:r>
              <w:rPr>
                <w:b/>
                <w:sz w:val="18"/>
              </w:rPr>
              <w:t>Indeks (%)</w:t>
            </w:r>
          </w:p>
        </w:tc>
      </w:tr>
      <w:tr w:rsidR="00807083" w14:paraId="658A539D" w14:textId="77777777">
        <w:tblPrEx>
          <w:tblCellMar>
            <w:top w:w="0" w:type="dxa"/>
            <w:bottom w:w="0" w:type="dxa"/>
          </w:tblCellMar>
        </w:tblPrEx>
        <w:trPr>
          <w:cantSplit/>
          <w:trHeight w:val="560"/>
        </w:trPr>
        <w:tc>
          <w:tcPr>
            <w:tcW w:w="700" w:type="dxa"/>
            <w:tcMar>
              <w:top w:w="0" w:type="dxa"/>
              <w:bottom w:w="0" w:type="dxa"/>
            </w:tcMar>
            <w:vAlign w:val="center"/>
          </w:tcPr>
          <w:p w14:paraId="637E1D09" w14:textId="77777777" w:rsidR="00807083" w:rsidRDefault="008A23A1">
            <w:pPr>
              <w:keepNext/>
              <w:keepLines/>
              <w:spacing w:after="0" w:line="240" w:lineRule="auto"/>
            </w:pPr>
            <w:r>
              <w:rPr>
                <w:sz w:val="18"/>
              </w:rPr>
              <w:t>3221</w:t>
            </w:r>
          </w:p>
        </w:tc>
        <w:tc>
          <w:tcPr>
            <w:tcW w:w="3180" w:type="dxa"/>
            <w:tcMar>
              <w:top w:w="0" w:type="dxa"/>
              <w:bottom w:w="0" w:type="dxa"/>
            </w:tcMar>
            <w:vAlign w:val="center"/>
          </w:tcPr>
          <w:p w14:paraId="782CBD28" w14:textId="77777777" w:rsidR="00807083" w:rsidRDefault="008A23A1">
            <w:pPr>
              <w:keepNext/>
              <w:keepLines/>
              <w:spacing w:after="0" w:line="240" w:lineRule="auto"/>
            </w:pPr>
            <w:r>
              <w:rPr>
                <w:sz w:val="18"/>
              </w:rPr>
              <w:t>Uredski materijal i ostali materijalni rashodi</w:t>
            </w:r>
          </w:p>
        </w:tc>
        <w:tc>
          <w:tcPr>
            <w:tcW w:w="700" w:type="dxa"/>
            <w:tcMar>
              <w:top w:w="0" w:type="dxa"/>
              <w:bottom w:w="0" w:type="dxa"/>
            </w:tcMar>
            <w:vAlign w:val="center"/>
          </w:tcPr>
          <w:p w14:paraId="67618E08" w14:textId="77777777" w:rsidR="00807083" w:rsidRDefault="008A23A1">
            <w:pPr>
              <w:keepNext/>
              <w:keepLines/>
              <w:spacing w:after="0" w:line="240" w:lineRule="auto"/>
            </w:pPr>
            <w:r>
              <w:rPr>
                <w:sz w:val="18"/>
              </w:rPr>
              <w:t>3221</w:t>
            </w:r>
          </w:p>
        </w:tc>
        <w:tc>
          <w:tcPr>
            <w:tcW w:w="1860" w:type="dxa"/>
            <w:tcMar>
              <w:top w:w="0" w:type="dxa"/>
              <w:bottom w:w="0" w:type="dxa"/>
            </w:tcMar>
            <w:vAlign w:val="center"/>
          </w:tcPr>
          <w:p w14:paraId="2492B554" w14:textId="77777777" w:rsidR="00807083" w:rsidRDefault="008A23A1">
            <w:pPr>
              <w:keepNext/>
              <w:keepLines/>
              <w:spacing w:after="0" w:line="240" w:lineRule="auto"/>
              <w:jc w:val="right"/>
            </w:pPr>
            <w:r>
              <w:rPr>
                <w:sz w:val="18"/>
              </w:rPr>
              <w:t>178.975,25</w:t>
            </w:r>
          </w:p>
        </w:tc>
        <w:tc>
          <w:tcPr>
            <w:tcW w:w="1860" w:type="dxa"/>
            <w:tcMar>
              <w:top w:w="0" w:type="dxa"/>
              <w:bottom w:w="0" w:type="dxa"/>
            </w:tcMar>
            <w:vAlign w:val="center"/>
          </w:tcPr>
          <w:p w14:paraId="2B432AFD" w14:textId="77777777" w:rsidR="00807083" w:rsidRDefault="008A23A1">
            <w:pPr>
              <w:keepNext/>
              <w:keepLines/>
              <w:spacing w:after="0" w:line="240" w:lineRule="auto"/>
              <w:jc w:val="right"/>
            </w:pPr>
            <w:r>
              <w:rPr>
                <w:sz w:val="18"/>
              </w:rPr>
              <w:t>60.551,42</w:t>
            </w:r>
          </w:p>
        </w:tc>
        <w:tc>
          <w:tcPr>
            <w:tcW w:w="700" w:type="dxa"/>
            <w:tcMar>
              <w:top w:w="0" w:type="dxa"/>
              <w:bottom w:w="0" w:type="dxa"/>
            </w:tcMar>
            <w:vAlign w:val="center"/>
          </w:tcPr>
          <w:p w14:paraId="4AD4ECB9" w14:textId="77777777" w:rsidR="00807083" w:rsidRDefault="008A23A1">
            <w:pPr>
              <w:keepNext/>
              <w:keepLines/>
              <w:spacing w:after="0" w:line="240" w:lineRule="auto"/>
              <w:jc w:val="right"/>
            </w:pPr>
            <w:r>
              <w:rPr>
                <w:sz w:val="18"/>
              </w:rPr>
              <w:t>33,8</w:t>
            </w:r>
          </w:p>
        </w:tc>
      </w:tr>
    </w:tbl>
    <w:p w14:paraId="06B6A925" w14:textId="77777777" w:rsidR="00807083" w:rsidRDefault="00807083">
      <w:pPr>
        <w:spacing w:after="0"/>
      </w:pPr>
    </w:p>
    <w:p w14:paraId="2883B4A1" w14:textId="77777777" w:rsidR="00807083" w:rsidRDefault="008A23A1">
      <w:r>
        <w:t xml:space="preserve">Na navedenoj poziciji zabilježeno je smanjenje u odnosu na prethodnu godinu, najvećim dijelom zbog završetka projekta 'Podrška ostvarenju jednakih mogućnosti u obrazovanju za </w:t>
      </w:r>
      <w:r>
        <w:lastRenderedPageBreak/>
        <w:t>učenike s teškoćama u razvoju – ATTEND', u sklopu kojeg su svi pripadajući rashodi bili realizirani tijekom 2024. godine.</w:t>
      </w:r>
    </w:p>
    <w:p w14:paraId="5FB54334" w14:textId="77777777" w:rsidR="00807083" w:rsidRDefault="00807083"/>
    <w:p w14:paraId="47DFFD01" w14:textId="77777777" w:rsidR="00807083" w:rsidRDefault="008A23A1">
      <w:pPr>
        <w:keepNext/>
        <w:spacing w:line="240" w:lineRule="auto"/>
        <w:jc w:val="center"/>
      </w:pPr>
      <w:r>
        <w:rPr>
          <w:sz w:val="28"/>
        </w:rPr>
        <w:t>Bilješka 10.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3B17036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6F9E467"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BBC49D6"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16991DA"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A0D1C75"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4097A30"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AA15A6F" w14:textId="77777777" w:rsidR="00807083" w:rsidRDefault="008A23A1">
            <w:pPr>
              <w:keepNext/>
              <w:keepLines/>
              <w:spacing w:after="0" w:line="240" w:lineRule="auto"/>
              <w:jc w:val="center"/>
            </w:pPr>
            <w:r>
              <w:rPr>
                <w:b/>
                <w:sz w:val="18"/>
              </w:rPr>
              <w:t>Indeks (%)</w:t>
            </w:r>
          </w:p>
        </w:tc>
      </w:tr>
      <w:tr w:rsidR="00807083" w14:paraId="4A60E880" w14:textId="77777777">
        <w:tblPrEx>
          <w:tblCellMar>
            <w:top w:w="0" w:type="dxa"/>
            <w:bottom w:w="0" w:type="dxa"/>
          </w:tblCellMar>
        </w:tblPrEx>
        <w:trPr>
          <w:cantSplit/>
          <w:trHeight w:val="560"/>
        </w:trPr>
        <w:tc>
          <w:tcPr>
            <w:tcW w:w="700" w:type="dxa"/>
            <w:tcMar>
              <w:top w:w="0" w:type="dxa"/>
              <w:bottom w:w="0" w:type="dxa"/>
            </w:tcMar>
            <w:vAlign w:val="center"/>
          </w:tcPr>
          <w:p w14:paraId="7CE97CC5" w14:textId="77777777" w:rsidR="00807083" w:rsidRDefault="008A23A1">
            <w:pPr>
              <w:keepNext/>
              <w:keepLines/>
              <w:spacing w:after="0" w:line="240" w:lineRule="auto"/>
            </w:pPr>
            <w:r>
              <w:rPr>
                <w:sz w:val="18"/>
              </w:rPr>
              <w:t>3232</w:t>
            </w:r>
          </w:p>
        </w:tc>
        <w:tc>
          <w:tcPr>
            <w:tcW w:w="3180" w:type="dxa"/>
            <w:tcMar>
              <w:top w:w="0" w:type="dxa"/>
              <w:bottom w:w="0" w:type="dxa"/>
            </w:tcMar>
            <w:vAlign w:val="center"/>
          </w:tcPr>
          <w:p w14:paraId="24649E49" w14:textId="77777777" w:rsidR="00807083" w:rsidRDefault="008A23A1">
            <w:pPr>
              <w:keepNext/>
              <w:keepLines/>
              <w:spacing w:after="0" w:line="240" w:lineRule="auto"/>
            </w:pPr>
            <w:r>
              <w:rPr>
                <w:sz w:val="18"/>
              </w:rPr>
              <w:t>Usluge tekućeg i investicijskog održavanja</w:t>
            </w:r>
          </w:p>
        </w:tc>
        <w:tc>
          <w:tcPr>
            <w:tcW w:w="700" w:type="dxa"/>
            <w:tcMar>
              <w:top w:w="0" w:type="dxa"/>
              <w:bottom w:w="0" w:type="dxa"/>
            </w:tcMar>
            <w:vAlign w:val="center"/>
          </w:tcPr>
          <w:p w14:paraId="43190ECA" w14:textId="77777777" w:rsidR="00807083" w:rsidRDefault="008A23A1">
            <w:pPr>
              <w:keepNext/>
              <w:keepLines/>
              <w:spacing w:after="0" w:line="240" w:lineRule="auto"/>
            </w:pPr>
            <w:r>
              <w:rPr>
                <w:sz w:val="18"/>
              </w:rPr>
              <w:t>3232</w:t>
            </w:r>
          </w:p>
        </w:tc>
        <w:tc>
          <w:tcPr>
            <w:tcW w:w="1860" w:type="dxa"/>
            <w:tcMar>
              <w:top w:w="0" w:type="dxa"/>
              <w:bottom w:w="0" w:type="dxa"/>
            </w:tcMar>
            <w:vAlign w:val="center"/>
          </w:tcPr>
          <w:p w14:paraId="33594508" w14:textId="77777777" w:rsidR="00807083" w:rsidRDefault="008A23A1">
            <w:pPr>
              <w:keepNext/>
              <w:keepLines/>
              <w:spacing w:after="0" w:line="240" w:lineRule="auto"/>
              <w:jc w:val="right"/>
            </w:pPr>
            <w:r>
              <w:rPr>
                <w:sz w:val="18"/>
              </w:rPr>
              <w:t>357.546,90</w:t>
            </w:r>
          </w:p>
        </w:tc>
        <w:tc>
          <w:tcPr>
            <w:tcW w:w="1860" w:type="dxa"/>
            <w:tcMar>
              <w:top w:w="0" w:type="dxa"/>
              <w:bottom w:w="0" w:type="dxa"/>
            </w:tcMar>
            <w:vAlign w:val="center"/>
          </w:tcPr>
          <w:p w14:paraId="02BA2218" w14:textId="77777777" w:rsidR="00807083" w:rsidRDefault="008A23A1">
            <w:pPr>
              <w:keepNext/>
              <w:keepLines/>
              <w:spacing w:after="0" w:line="240" w:lineRule="auto"/>
              <w:jc w:val="right"/>
            </w:pPr>
            <w:r>
              <w:rPr>
                <w:sz w:val="18"/>
              </w:rPr>
              <w:t>7.173.494,95</w:t>
            </w:r>
          </w:p>
        </w:tc>
        <w:tc>
          <w:tcPr>
            <w:tcW w:w="700" w:type="dxa"/>
            <w:tcMar>
              <w:top w:w="0" w:type="dxa"/>
              <w:bottom w:w="0" w:type="dxa"/>
            </w:tcMar>
            <w:vAlign w:val="center"/>
          </w:tcPr>
          <w:p w14:paraId="39BAB28F" w14:textId="77777777" w:rsidR="00807083" w:rsidRDefault="008A23A1">
            <w:pPr>
              <w:keepNext/>
              <w:keepLines/>
              <w:spacing w:after="0" w:line="240" w:lineRule="auto"/>
              <w:jc w:val="right"/>
            </w:pPr>
            <w:r>
              <w:rPr>
                <w:sz w:val="18"/>
              </w:rPr>
              <w:t>2006,3</w:t>
            </w:r>
          </w:p>
        </w:tc>
      </w:tr>
    </w:tbl>
    <w:p w14:paraId="02C44B19" w14:textId="77777777" w:rsidR="00807083" w:rsidRDefault="00807083">
      <w:pPr>
        <w:spacing w:after="0"/>
      </w:pPr>
    </w:p>
    <w:p w14:paraId="3F81B455" w14:textId="77777777" w:rsidR="00807083" w:rsidRDefault="008A23A1">
      <w:r>
        <w:t>Navedena pozicija bilježi značajniji rast zbog izgradnje pasivne mreže te implementacije aktivne mrežne i pristupne opreme ustanova u okviru projekta „Digitalna preobrazba visokog obrazovanja – e-Sveučilišta“, financiranog iz Nacionalnog plana oporavka i otpornosti 2021. – 2026. (NPOO.C3.1.R2-I1.01.0001), sklopljenog između Ministarstva znanosti, obrazovanja i mladih, Središnje agencije za financiranje i ugovaranje programa i projekata Europske unije te Hrvatske akademske i istraživačke mreže – CARNET.</w:t>
      </w:r>
    </w:p>
    <w:p w14:paraId="6DEFE7D6" w14:textId="77777777" w:rsidR="00807083" w:rsidRDefault="00807083"/>
    <w:p w14:paraId="279DEE1C" w14:textId="77777777" w:rsidR="00807083" w:rsidRDefault="008A23A1">
      <w:pPr>
        <w:keepNext/>
        <w:spacing w:line="240" w:lineRule="auto"/>
        <w:jc w:val="center"/>
      </w:pPr>
      <w:r>
        <w:rPr>
          <w:sz w:val="28"/>
        </w:rPr>
        <w:t>Bilješka 11.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02E99CA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0C47B44"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CB9CA67"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E969E12"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33AEB69"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665F0EF"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FD90034" w14:textId="77777777" w:rsidR="00807083" w:rsidRDefault="008A23A1">
            <w:pPr>
              <w:keepNext/>
              <w:keepLines/>
              <w:spacing w:after="0" w:line="240" w:lineRule="auto"/>
              <w:jc w:val="center"/>
            </w:pPr>
            <w:r>
              <w:rPr>
                <w:b/>
                <w:sz w:val="18"/>
              </w:rPr>
              <w:t>Indeks (%)</w:t>
            </w:r>
          </w:p>
        </w:tc>
      </w:tr>
      <w:tr w:rsidR="00807083" w14:paraId="49B5B855" w14:textId="77777777">
        <w:tblPrEx>
          <w:tblCellMar>
            <w:top w:w="0" w:type="dxa"/>
            <w:bottom w:w="0" w:type="dxa"/>
          </w:tblCellMar>
        </w:tblPrEx>
        <w:trPr>
          <w:cantSplit/>
          <w:trHeight w:val="560"/>
        </w:trPr>
        <w:tc>
          <w:tcPr>
            <w:tcW w:w="700" w:type="dxa"/>
            <w:tcMar>
              <w:top w:w="0" w:type="dxa"/>
              <w:bottom w:w="0" w:type="dxa"/>
            </w:tcMar>
            <w:vAlign w:val="center"/>
          </w:tcPr>
          <w:p w14:paraId="572AF992" w14:textId="77777777" w:rsidR="00807083" w:rsidRDefault="008A23A1">
            <w:pPr>
              <w:keepNext/>
              <w:keepLines/>
              <w:spacing w:after="0" w:line="240" w:lineRule="auto"/>
            </w:pPr>
            <w:r>
              <w:rPr>
                <w:sz w:val="18"/>
              </w:rPr>
              <w:t>3233</w:t>
            </w:r>
          </w:p>
        </w:tc>
        <w:tc>
          <w:tcPr>
            <w:tcW w:w="3180" w:type="dxa"/>
            <w:tcMar>
              <w:top w:w="0" w:type="dxa"/>
              <w:bottom w:w="0" w:type="dxa"/>
            </w:tcMar>
            <w:vAlign w:val="center"/>
          </w:tcPr>
          <w:p w14:paraId="26B54683" w14:textId="77777777" w:rsidR="00807083" w:rsidRDefault="008A23A1">
            <w:pPr>
              <w:keepNext/>
              <w:keepLines/>
              <w:spacing w:after="0" w:line="240" w:lineRule="auto"/>
            </w:pPr>
            <w:r>
              <w:rPr>
                <w:sz w:val="18"/>
              </w:rPr>
              <w:t>Usluge promidžbe i informiranja</w:t>
            </w:r>
          </w:p>
        </w:tc>
        <w:tc>
          <w:tcPr>
            <w:tcW w:w="700" w:type="dxa"/>
            <w:tcMar>
              <w:top w:w="0" w:type="dxa"/>
              <w:bottom w:w="0" w:type="dxa"/>
            </w:tcMar>
            <w:vAlign w:val="center"/>
          </w:tcPr>
          <w:p w14:paraId="135ECC5C" w14:textId="77777777" w:rsidR="00807083" w:rsidRDefault="008A23A1">
            <w:pPr>
              <w:keepNext/>
              <w:keepLines/>
              <w:spacing w:after="0" w:line="240" w:lineRule="auto"/>
            </w:pPr>
            <w:r>
              <w:rPr>
                <w:sz w:val="18"/>
              </w:rPr>
              <w:t>3233</w:t>
            </w:r>
          </w:p>
        </w:tc>
        <w:tc>
          <w:tcPr>
            <w:tcW w:w="1860" w:type="dxa"/>
            <w:tcMar>
              <w:top w:w="0" w:type="dxa"/>
              <w:bottom w:w="0" w:type="dxa"/>
            </w:tcMar>
            <w:vAlign w:val="center"/>
          </w:tcPr>
          <w:p w14:paraId="36D2A4D0" w14:textId="77777777" w:rsidR="00807083" w:rsidRDefault="008A23A1">
            <w:pPr>
              <w:keepNext/>
              <w:keepLines/>
              <w:spacing w:after="0" w:line="240" w:lineRule="auto"/>
              <w:jc w:val="right"/>
            </w:pPr>
            <w:r>
              <w:rPr>
                <w:sz w:val="18"/>
              </w:rPr>
              <w:t>432.924,81</w:t>
            </w:r>
          </w:p>
        </w:tc>
        <w:tc>
          <w:tcPr>
            <w:tcW w:w="1860" w:type="dxa"/>
            <w:tcMar>
              <w:top w:w="0" w:type="dxa"/>
              <w:bottom w:w="0" w:type="dxa"/>
            </w:tcMar>
            <w:vAlign w:val="center"/>
          </w:tcPr>
          <w:p w14:paraId="4A098CAA" w14:textId="77777777" w:rsidR="00807083" w:rsidRDefault="008A23A1">
            <w:pPr>
              <w:keepNext/>
              <w:keepLines/>
              <w:spacing w:after="0" w:line="240" w:lineRule="auto"/>
              <w:jc w:val="right"/>
            </w:pPr>
            <w:r>
              <w:rPr>
                <w:sz w:val="18"/>
              </w:rPr>
              <w:t>208.263,18</w:t>
            </w:r>
          </w:p>
        </w:tc>
        <w:tc>
          <w:tcPr>
            <w:tcW w:w="700" w:type="dxa"/>
            <w:tcMar>
              <w:top w:w="0" w:type="dxa"/>
              <w:bottom w:w="0" w:type="dxa"/>
            </w:tcMar>
            <w:vAlign w:val="center"/>
          </w:tcPr>
          <w:p w14:paraId="6B662C13" w14:textId="77777777" w:rsidR="00807083" w:rsidRDefault="008A23A1">
            <w:pPr>
              <w:keepNext/>
              <w:keepLines/>
              <w:spacing w:after="0" w:line="240" w:lineRule="auto"/>
              <w:jc w:val="right"/>
            </w:pPr>
            <w:r>
              <w:rPr>
                <w:sz w:val="18"/>
              </w:rPr>
              <w:t>48,1</w:t>
            </w:r>
          </w:p>
        </w:tc>
      </w:tr>
    </w:tbl>
    <w:p w14:paraId="5B6D7037" w14:textId="77777777" w:rsidR="00807083" w:rsidRDefault="00807083">
      <w:pPr>
        <w:spacing w:after="0"/>
      </w:pPr>
    </w:p>
    <w:p w14:paraId="1076D7EF" w14:textId="77777777" w:rsidR="00807083" w:rsidRDefault="008A23A1">
      <w:r>
        <w:t>Na poziciji usluge promidžbe i informiranja (šifra 3233) zabilježeno je smanjenje rashoda u odnosu na prethodnu godinu, ponajprije zbog završetka projekta 'Podrška ostvarenju jednakih mogućnosti u obrazovanju za učenike s teškoćama u razvoju – ATTEND', čime su završene i sve prateće aktivnosti diseminacije i promidžbe vezane uz provedbu i vidljivost projekta.</w:t>
      </w:r>
    </w:p>
    <w:p w14:paraId="3A469928" w14:textId="77777777" w:rsidR="00807083" w:rsidRDefault="00807083"/>
    <w:p w14:paraId="416E6940" w14:textId="77777777" w:rsidR="00807083" w:rsidRDefault="008A23A1">
      <w:pPr>
        <w:keepNext/>
        <w:spacing w:line="240" w:lineRule="auto"/>
        <w:jc w:val="center"/>
      </w:pPr>
      <w:r>
        <w:rPr>
          <w:sz w:val="28"/>
        </w:rPr>
        <w:t>Bilješka 12.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77F0988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3C88E4C"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007CF7B"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6AF5B4E"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04E8CF6"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082A7BC"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F69C67D" w14:textId="77777777" w:rsidR="00807083" w:rsidRDefault="008A23A1">
            <w:pPr>
              <w:keepNext/>
              <w:keepLines/>
              <w:spacing w:after="0" w:line="240" w:lineRule="auto"/>
              <w:jc w:val="center"/>
            </w:pPr>
            <w:r>
              <w:rPr>
                <w:b/>
                <w:sz w:val="18"/>
              </w:rPr>
              <w:t>Indeks (%)</w:t>
            </w:r>
          </w:p>
        </w:tc>
      </w:tr>
      <w:tr w:rsidR="00807083" w14:paraId="0DA27786" w14:textId="77777777">
        <w:tblPrEx>
          <w:tblCellMar>
            <w:top w:w="0" w:type="dxa"/>
            <w:bottom w:w="0" w:type="dxa"/>
          </w:tblCellMar>
        </w:tblPrEx>
        <w:trPr>
          <w:cantSplit/>
          <w:trHeight w:val="560"/>
        </w:trPr>
        <w:tc>
          <w:tcPr>
            <w:tcW w:w="700" w:type="dxa"/>
            <w:tcMar>
              <w:top w:w="0" w:type="dxa"/>
              <w:bottom w:w="0" w:type="dxa"/>
            </w:tcMar>
            <w:vAlign w:val="center"/>
          </w:tcPr>
          <w:p w14:paraId="64185B31" w14:textId="77777777" w:rsidR="00807083" w:rsidRDefault="008A23A1">
            <w:pPr>
              <w:keepNext/>
              <w:keepLines/>
              <w:spacing w:after="0" w:line="240" w:lineRule="auto"/>
            </w:pPr>
            <w:r>
              <w:rPr>
                <w:sz w:val="18"/>
              </w:rPr>
              <w:t>3237</w:t>
            </w:r>
          </w:p>
        </w:tc>
        <w:tc>
          <w:tcPr>
            <w:tcW w:w="3180" w:type="dxa"/>
            <w:tcMar>
              <w:top w:w="0" w:type="dxa"/>
              <w:bottom w:w="0" w:type="dxa"/>
            </w:tcMar>
            <w:vAlign w:val="center"/>
          </w:tcPr>
          <w:p w14:paraId="156F533A" w14:textId="77777777" w:rsidR="00807083" w:rsidRDefault="008A23A1">
            <w:pPr>
              <w:keepNext/>
              <w:keepLines/>
              <w:spacing w:after="0" w:line="240" w:lineRule="auto"/>
            </w:pPr>
            <w:r>
              <w:rPr>
                <w:sz w:val="18"/>
              </w:rPr>
              <w:t>Intelektualne i osobne usluge</w:t>
            </w:r>
          </w:p>
        </w:tc>
        <w:tc>
          <w:tcPr>
            <w:tcW w:w="700" w:type="dxa"/>
            <w:tcMar>
              <w:top w:w="0" w:type="dxa"/>
              <w:bottom w:w="0" w:type="dxa"/>
            </w:tcMar>
            <w:vAlign w:val="center"/>
          </w:tcPr>
          <w:p w14:paraId="6AD8852D" w14:textId="77777777" w:rsidR="00807083" w:rsidRDefault="008A23A1">
            <w:pPr>
              <w:keepNext/>
              <w:keepLines/>
              <w:spacing w:after="0" w:line="240" w:lineRule="auto"/>
            </w:pPr>
            <w:r>
              <w:rPr>
                <w:sz w:val="18"/>
              </w:rPr>
              <w:t>3237</w:t>
            </w:r>
          </w:p>
        </w:tc>
        <w:tc>
          <w:tcPr>
            <w:tcW w:w="1860" w:type="dxa"/>
            <w:tcMar>
              <w:top w:w="0" w:type="dxa"/>
              <w:bottom w:w="0" w:type="dxa"/>
            </w:tcMar>
            <w:vAlign w:val="center"/>
          </w:tcPr>
          <w:p w14:paraId="0F79F687" w14:textId="77777777" w:rsidR="00807083" w:rsidRDefault="008A23A1">
            <w:pPr>
              <w:keepNext/>
              <w:keepLines/>
              <w:spacing w:after="0" w:line="240" w:lineRule="auto"/>
              <w:jc w:val="right"/>
            </w:pPr>
            <w:r>
              <w:rPr>
                <w:sz w:val="18"/>
              </w:rPr>
              <w:t>2.026.804,79</w:t>
            </w:r>
          </w:p>
        </w:tc>
        <w:tc>
          <w:tcPr>
            <w:tcW w:w="1860" w:type="dxa"/>
            <w:tcMar>
              <w:top w:w="0" w:type="dxa"/>
              <w:bottom w:w="0" w:type="dxa"/>
            </w:tcMar>
            <w:vAlign w:val="center"/>
          </w:tcPr>
          <w:p w14:paraId="54F3512A" w14:textId="77777777" w:rsidR="00807083" w:rsidRDefault="008A23A1">
            <w:pPr>
              <w:keepNext/>
              <w:keepLines/>
              <w:spacing w:after="0" w:line="240" w:lineRule="auto"/>
              <w:jc w:val="right"/>
            </w:pPr>
            <w:r>
              <w:rPr>
                <w:sz w:val="18"/>
              </w:rPr>
              <w:t>4.752.131,21</w:t>
            </w:r>
          </w:p>
        </w:tc>
        <w:tc>
          <w:tcPr>
            <w:tcW w:w="700" w:type="dxa"/>
            <w:tcMar>
              <w:top w:w="0" w:type="dxa"/>
              <w:bottom w:w="0" w:type="dxa"/>
            </w:tcMar>
            <w:vAlign w:val="center"/>
          </w:tcPr>
          <w:p w14:paraId="157D93F9" w14:textId="77777777" w:rsidR="00807083" w:rsidRDefault="008A23A1">
            <w:pPr>
              <w:keepNext/>
              <w:keepLines/>
              <w:spacing w:after="0" w:line="240" w:lineRule="auto"/>
              <w:jc w:val="right"/>
            </w:pPr>
            <w:r>
              <w:rPr>
                <w:sz w:val="18"/>
              </w:rPr>
              <w:t>234,5</w:t>
            </w:r>
          </w:p>
        </w:tc>
      </w:tr>
    </w:tbl>
    <w:p w14:paraId="2CD00EC5" w14:textId="77777777" w:rsidR="00807083" w:rsidRDefault="00807083">
      <w:pPr>
        <w:spacing w:after="0"/>
      </w:pPr>
    </w:p>
    <w:p w14:paraId="44D37328" w14:textId="77777777" w:rsidR="00807083" w:rsidRDefault="008A23A1">
      <w:r>
        <w:t xml:space="preserve">Pozicija  bilježi porast u odnosu na prethodnu godinu zbog realizacije ugovora o nabavi usluga projektiranja u okviru projekta „Digitalna preobrazba visokog obrazovanja – e-Sveučilišta“, koji obuhvaća projektiranje i izgradnju pasivne mreže te implementaciju aktivne mrežne i pristupne opreme u ustanovama. Dodatni rast odnosi se na nabavu usluga izrade obrazovnih sadržaja, organizacije i provedbe edukacija, izrade sadržaja za samoučenje, </w:t>
      </w:r>
      <w:r>
        <w:lastRenderedPageBreak/>
        <w:t>provedbe istraživanja te savjetodavne podrške u području kibernetičke sigurnosti, također u sklopu istog projekta.</w:t>
      </w:r>
    </w:p>
    <w:p w14:paraId="7EF5AC54" w14:textId="77777777" w:rsidR="00807083" w:rsidRDefault="008A23A1">
      <w:r>
        <w:t>U 2025. godini zabilježen je i porast troškova student servisa zbog zakonskog povećanja minimalne studentske satnice i posljedičnog povećanja početne satnice na CARNET-ovom Helpdesku, kao i povećanog obujma korisničke podrške uslijed uvođenja novih sustava i usluga u obrazovni sustav Republike Hrvatske.</w:t>
      </w:r>
    </w:p>
    <w:p w14:paraId="31E11AD0" w14:textId="77777777" w:rsidR="00807083" w:rsidRDefault="00807083"/>
    <w:p w14:paraId="23CE60A0" w14:textId="77777777" w:rsidR="00807083" w:rsidRDefault="008A23A1">
      <w:pPr>
        <w:keepNext/>
        <w:spacing w:line="240" w:lineRule="auto"/>
        <w:jc w:val="center"/>
      </w:pPr>
      <w:r>
        <w:rPr>
          <w:sz w:val="28"/>
        </w:rPr>
        <w:t>Bilješka 13.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109B694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F5DA368"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65298FD"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9C3CAF9"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74E7A9D"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8C2AFCD"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FDF3259" w14:textId="77777777" w:rsidR="00807083" w:rsidRDefault="008A23A1">
            <w:pPr>
              <w:keepNext/>
              <w:keepLines/>
              <w:spacing w:after="0" w:line="240" w:lineRule="auto"/>
              <w:jc w:val="center"/>
            </w:pPr>
            <w:r>
              <w:rPr>
                <w:b/>
                <w:sz w:val="18"/>
              </w:rPr>
              <w:t>Indeks (%)</w:t>
            </w:r>
          </w:p>
        </w:tc>
      </w:tr>
      <w:tr w:rsidR="00807083" w14:paraId="03E0997C" w14:textId="77777777">
        <w:tblPrEx>
          <w:tblCellMar>
            <w:top w:w="0" w:type="dxa"/>
            <w:bottom w:w="0" w:type="dxa"/>
          </w:tblCellMar>
        </w:tblPrEx>
        <w:trPr>
          <w:cantSplit/>
          <w:trHeight w:val="560"/>
        </w:trPr>
        <w:tc>
          <w:tcPr>
            <w:tcW w:w="700" w:type="dxa"/>
            <w:tcMar>
              <w:top w:w="0" w:type="dxa"/>
              <w:bottom w:w="0" w:type="dxa"/>
            </w:tcMar>
            <w:vAlign w:val="center"/>
          </w:tcPr>
          <w:p w14:paraId="3523C189" w14:textId="77777777" w:rsidR="00807083" w:rsidRDefault="008A23A1">
            <w:pPr>
              <w:keepNext/>
              <w:keepLines/>
              <w:spacing w:after="0" w:line="240" w:lineRule="auto"/>
            </w:pPr>
            <w:r>
              <w:rPr>
                <w:sz w:val="18"/>
              </w:rPr>
              <w:t>3238</w:t>
            </w:r>
          </w:p>
        </w:tc>
        <w:tc>
          <w:tcPr>
            <w:tcW w:w="3180" w:type="dxa"/>
            <w:tcMar>
              <w:top w:w="0" w:type="dxa"/>
              <w:bottom w:w="0" w:type="dxa"/>
            </w:tcMar>
            <w:vAlign w:val="center"/>
          </w:tcPr>
          <w:p w14:paraId="37C46356" w14:textId="77777777" w:rsidR="00807083" w:rsidRDefault="008A23A1">
            <w:pPr>
              <w:keepNext/>
              <w:keepLines/>
              <w:spacing w:after="0" w:line="240" w:lineRule="auto"/>
            </w:pPr>
            <w:r>
              <w:rPr>
                <w:sz w:val="18"/>
              </w:rPr>
              <w:t>Računalne usluge</w:t>
            </w:r>
          </w:p>
        </w:tc>
        <w:tc>
          <w:tcPr>
            <w:tcW w:w="700" w:type="dxa"/>
            <w:tcMar>
              <w:top w:w="0" w:type="dxa"/>
              <w:bottom w:w="0" w:type="dxa"/>
            </w:tcMar>
            <w:vAlign w:val="center"/>
          </w:tcPr>
          <w:p w14:paraId="0423A76C" w14:textId="77777777" w:rsidR="00807083" w:rsidRDefault="008A23A1">
            <w:pPr>
              <w:keepNext/>
              <w:keepLines/>
              <w:spacing w:after="0" w:line="240" w:lineRule="auto"/>
            </w:pPr>
            <w:r>
              <w:rPr>
                <w:sz w:val="18"/>
              </w:rPr>
              <w:t>3238</w:t>
            </w:r>
          </w:p>
        </w:tc>
        <w:tc>
          <w:tcPr>
            <w:tcW w:w="1860" w:type="dxa"/>
            <w:tcMar>
              <w:top w:w="0" w:type="dxa"/>
              <w:bottom w:w="0" w:type="dxa"/>
            </w:tcMar>
            <w:vAlign w:val="center"/>
          </w:tcPr>
          <w:p w14:paraId="66DA9128" w14:textId="77777777" w:rsidR="00807083" w:rsidRDefault="008A23A1">
            <w:pPr>
              <w:keepNext/>
              <w:keepLines/>
              <w:spacing w:after="0" w:line="240" w:lineRule="auto"/>
              <w:jc w:val="right"/>
            </w:pPr>
            <w:r>
              <w:rPr>
                <w:sz w:val="18"/>
              </w:rPr>
              <w:t>1.567.623,94</w:t>
            </w:r>
          </w:p>
        </w:tc>
        <w:tc>
          <w:tcPr>
            <w:tcW w:w="1860" w:type="dxa"/>
            <w:tcMar>
              <w:top w:w="0" w:type="dxa"/>
              <w:bottom w:w="0" w:type="dxa"/>
            </w:tcMar>
            <w:vAlign w:val="center"/>
          </w:tcPr>
          <w:p w14:paraId="69FF8AD6" w14:textId="77777777" w:rsidR="00807083" w:rsidRDefault="008A23A1">
            <w:pPr>
              <w:keepNext/>
              <w:keepLines/>
              <w:spacing w:after="0" w:line="240" w:lineRule="auto"/>
              <w:jc w:val="right"/>
            </w:pPr>
            <w:r>
              <w:rPr>
                <w:sz w:val="18"/>
              </w:rPr>
              <w:t>2.735.460,51</w:t>
            </w:r>
          </w:p>
        </w:tc>
        <w:tc>
          <w:tcPr>
            <w:tcW w:w="700" w:type="dxa"/>
            <w:tcMar>
              <w:top w:w="0" w:type="dxa"/>
              <w:bottom w:w="0" w:type="dxa"/>
            </w:tcMar>
            <w:vAlign w:val="center"/>
          </w:tcPr>
          <w:p w14:paraId="0B7E35BF" w14:textId="77777777" w:rsidR="00807083" w:rsidRDefault="008A23A1">
            <w:pPr>
              <w:keepNext/>
              <w:keepLines/>
              <w:spacing w:after="0" w:line="240" w:lineRule="auto"/>
              <w:jc w:val="right"/>
            </w:pPr>
            <w:r>
              <w:rPr>
                <w:sz w:val="18"/>
              </w:rPr>
              <w:t>174,5</w:t>
            </w:r>
          </w:p>
        </w:tc>
      </w:tr>
    </w:tbl>
    <w:p w14:paraId="5A6CED42" w14:textId="77777777" w:rsidR="00807083" w:rsidRDefault="00807083">
      <w:pPr>
        <w:spacing w:after="0"/>
      </w:pPr>
    </w:p>
    <w:p w14:paraId="1FD6D432" w14:textId="77777777" w:rsidR="00807083" w:rsidRDefault="008A23A1">
      <w:r>
        <w:t>Navedena pozicija bilježi povećanje, koje je rezultat nabave usluge korištenja alata za izradu digitalnih obrazovnih sadržaja te usluge održavanja sustava Edutorij, u sklopu projekta „Digitalna preobrazba visokog obrazovanja – e-Sveučilišta“'. Također, u okviru projekta „Unaprjeđenje primjene digitalne tehnologije u obrazovnom sustavu – BrAIn“, evidentirani su rashodi za održavanje sustava CARNET Privatnost te za operativnu podršku CARNET-ovog sustava za analitike učenja. Dodatno, u sklopu projekta „Cjelovi</w:t>
      </w:r>
      <w:r>
        <w:t>ta informatizacija sustava odgoja i obrazovanja –CISOO”, ostvareni su rashodi za operativnu podršku u korištenju sustava, sukladno ugovoru o nabavi usluge cjelovitog programskog rješenja – faza 1.</w:t>
      </w:r>
    </w:p>
    <w:p w14:paraId="0F974621" w14:textId="77777777" w:rsidR="00807083" w:rsidRDefault="00807083"/>
    <w:p w14:paraId="396A09CD" w14:textId="77777777" w:rsidR="00807083" w:rsidRDefault="008A23A1">
      <w:pPr>
        <w:keepNext/>
        <w:spacing w:line="240" w:lineRule="auto"/>
        <w:jc w:val="center"/>
      </w:pPr>
      <w:r>
        <w:rPr>
          <w:sz w:val="28"/>
        </w:rPr>
        <w:t>Bilješka 14.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01B0588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406BE96"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1CA546A"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A152AC4"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9168D41"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135BE3E"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5D0433D" w14:textId="77777777" w:rsidR="00807083" w:rsidRDefault="008A23A1">
            <w:pPr>
              <w:keepNext/>
              <w:keepLines/>
              <w:spacing w:after="0" w:line="240" w:lineRule="auto"/>
              <w:jc w:val="center"/>
            </w:pPr>
            <w:r>
              <w:rPr>
                <w:b/>
                <w:sz w:val="18"/>
              </w:rPr>
              <w:t>Indeks (%)</w:t>
            </w:r>
          </w:p>
        </w:tc>
      </w:tr>
      <w:tr w:rsidR="00807083" w14:paraId="60D62881" w14:textId="77777777">
        <w:tblPrEx>
          <w:tblCellMar>
            <w:top w:w="0" w:type="dxa"/>
            <w:bottom w:w="0" w:type="dxa"/>
          </w:tblCellMar>
        </w:tblPrEx>
        <w:trPr>
          <w:cantSplit/>
          <w:trHeight w:val="560"/>
        </w:trPr>
        <w:tc>
          <w:tcPr>
            <w:tcW w:w="700" w:type="dxa"/>
            <w:tcMar>
              <w:top w:w="0" w:type="dxa"/>
              <w:bottom w:w="0" w:type="dxa"/>
            </w:tcMar>
            <w:vAlign w:val="center"/>
          </w:tcPr>
          <w:p w14:paraId="6540CC97" w14:textId="77777777" w:rsidR="00807083" w:rsidRDefault="008A23A1">
            <w:pPr>
              <w:keepNext/>
              <w:keepLines/>
              <w:spacing w:after="0" w:line="240" w:lineRule="auto"/>
            </w:pPr>
            <w:r>
              <w:rPr>
                <w:sz w:val="18"/>
              </w:rPr>
              <w:t>324</w:t>
            </w:r>
          </w:p>
        </w:tc>
        <w:tc>
          <w:tcPr>
            <w:tcW w:w="3180" w:type="dxa"/>
            <w:tcMar>
              <w:top w:w="0" w:type="dxa"/>
              <w:bottom w:w="0" w:type="dxa"/>
            </w:tcMar>
            <w:vAlign w:val="center"/>
          </w:tcPr>
          <w:p w14:paraId="01F5BABE" w14:textId="77777777" w:rsidR="00807083" w:rsidRDefault="008A23A1">
            <w:pPr>
              <w:keepNext/>
              <w:keepLines/>
              <w:spacing w:after="0" w:line="240" w:lineRule="auto"/>
            </w:pPr>
            <w:r>
              <w:rPr>
                <w:sz w:val="18"/>
              </w:rPr>
              <w:t>Naknade troškova osobama izvan radnog odnosa</w:t>
            </w:r>
          </w:p>
        </w:tc>
        <w:tc>
          <w:tcPr>
            <w:tcW w:w="700" w:type="dxa"/>
            <w:tcMar>
              <w:top w:w="0" w:type="dxa"/>
              <w:bottom w:w="0" w:type="dxa"/>
            </w:tcMar>
            <w:vAlign w:val="center"/>
          </w:tcPr>
          <w:p w14:paraId="4B09B522" w14:textId="77777777" w:rsidR="00807083" w:rsidRDefault="008A23A1">
            <w:pPr>
              <w:keepNext/>
              <w:keepLines/>
              <w:spacing w:after="0" w:line="240" w:lineRule="auto"/>
            </w:pPr>
            <w:r>
              <w:rPr>
                <w:sz w:val="18"/>
              </w:rPr>
              <w:t>324</w:t>
            </w:r>
          </w:p>
        </w:tc>
        <w:tc>
          <w:tcPr>
            <w:tcW w:w="1860" w:type="dxa"/>
            <w:tcMar>
              <w:top w:w="0" w:type="dxa"/>
              <w:bottom w:w="0" w:type="dxa"/>
            </w:tcMar>
            <w:vAlign w:val="center"/>
          </w:tcPr>
          <w:p w14:paraId="4E76B657" w14:textId="77777777" w:rsidR="00807083" w:rsidRDefault="008A23A1">
            <w:pPr>
              <w:keepNext/>
              <w:keepLines/>
              <w:spacing w:after="0" w:line="240" w:lineRule="auto"/>
              <w:jc w:val="right"/>
            </w:pPr>
            <w:r>
              <w:rPr>
                <w:sz w:val="18"/>
              </w:rPr>
              <w:t>492.529,37</w:t>
            </w:r>
          </w:p>
        </w:tc>
        <w:tc>
          <w:tcPr>
            <w:tcW w:w="1860" w:type="dxa"/>
            <w:tcMar>
              <w:top w:w="0" w:type="dxa"/>
              <w:bottom w:w="0" w:type="dxa"/>
            </w:tcMar>
            <w:vAlign w:val="center"/>
          </w:tcPr>
          <w:p w14:paraId="3B3E020B" w14:textId="77777777" w:rsidR="00807083" w:rsidRDefault="008A23A1">
            <w:pPr>
              <w:keepNext/>
              <w:keepLines/>
              <w:spacing w:after="0" w:line="240" w:lineRule="auto"/>
              <w:jc w:val="right"/>
            </w:pPr>
            <w:r>
              <w:rPr>
                <w:sz w:val="18"/>
              </w:rPr>
              <w:t>366.570,41</w:t>
            </w:r>
          </w:p>
        </w:tc>
        <w:tc>
          <w:tcPr>
            <w:tcW w:w="700" w:type="dxa"/>
            <w:tcMar>
              <w:top w:w="0" w:type="dxa"/>
              <w:bottom w:w="0" w:type="dxa"/>
            </w:tcMar>
            <w:vAlign w:val="center"/>
          </w:tcPr>
          <w:p w14:paraId="54E1430D" w14:textId="77777777" w:rsidR="00807083" w:rsidRDefault="008A23A1">
            <w:pPr>
              <w:keepNext/>
              <w:keepLines/>
              <w:spacing w:after="0" w:line="240" w:lineRule="auto"/>
              <w:jc w:val="right"/>
            </w:pPr>
            <w:r>
              <w:rPr>
                <w:sz w:val="18"/>
              </w:rPr>
              <w:t>74,4</w:t>
            </w:r>
          </w:p>
        </w:tc>
      </w:tr>
    </w:tbl>
    <w:p w14:paraId="12DCD474" w14:textId="77777777" w:rsidR="00807083" w:rsidRDefault="00807083">
      <w:pPr>
        <w:spacing w:after="0"/>
      </w:pPr>
    </w:p>
    <w:p w14:paraId="3CCF15B8" w14:textId="77777777" w:rsidR="00807083" w:rsidRDefault="008A23A1">
      <w:r>
        <w:t>Navedena pozicija bilježi smanjenje rashoda u odnosu na prethodnu godinu zbog završetka projekta 'Podrška ostvarenju jednakih mogućnosti u obrazovanju za učenike s teškoćama u razvoju – ATTEND, u prethodnoj godini u sklopu projekta vanjski suradnici su upućivani na službena putovanja, što je rezultiralo povećanim troškovima naknada i pripadajućih izdataka. (ISLAND)</w:t>
      </w:r>
    </w:p>
    <w:p w14:paraId="6F811ACB" w14:textId="77777777" w:rsidR="00807083" w:rsidRDefault="00807083"/>
    <w:p w14:paraId="46EDCD9D" w14:textId="77777777" w:rsidR="00807083" w:rsidRDefault="008A23A1">
      <w:pPr>
        <w:keepNext/>
        <w:spacing w:line="240" w:lineRule="auto"/>
        <w:jc w:val="center"/>
      </w:pPr>
      <w:r>
        <w:rPr>
          <w:sz w:val="28"/>
        </w:rPr>
        <w:lastRenderedPageBreak/>
        <w:t>Bilješka 15.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08E61A6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BF5E138"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2CDEB60"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0CB870A"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B0830D9"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446C0BD"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95CD1B6" w14:textId="77777777" w:rsidR="00807083" w:rsidRDefault="008A23A1">
            <w:pPr>
              <w:keepNext/>
              <w:keepLines/>
              <w:spacing w:after="0" w:line="240" w:lineRule="auto"/>
              <w:jc w:val="center"/>
            </w:pPr>
            <w:r>
              <w:rPr>
                <w:b/>
                <w:sz w:val="18"/>
              </w:rPr>
              <w:t>Indeks (%)</w:t>
            </w:r>
          </w:p>
        </w:tc>
      </w:tr>
      <w:tr w:rsidR="00807083" w14:paraId="7349DF97" w14:textId="77777777">
        <w:tblPrEx>
          <w:tblCellMar>
            <w:top w:w="0" w:type="dxa"/>
            <w:bottom w:w="0" w:type="dxa"/>
          </w:tblCellMar>
        </w:tblPrEx>
        <w:trPr>
          <w:cantSplit/>
          <w:trHeight w:val="560"/>
        </w:trPr>
        <w:tc>
          <w:tcPr>
            <w:tcW w:w="700" w:type="dxa"/>
            <w:tcMar>
              <w:top w:w="0" w:type="dxa"/>
              <w:bottom w:w="0" w:type="dxa"/>
            </w:tcMar>
            <w:vAlign w:val="center"/>
          </w:tcPr>
          <w:p w14:paraId="7E8FDD7F" w14:textId="77777777" w:rsidR="00807083" w:rsidRDefault="008A23A1">
            <w:pPr>
              <w:keepNext/>
              <w:keepLines/>
              <w:spacing w:after="0" w:line="240" w:lineRule="auto"/>
            </w:pPr>
            <w:r>
              <w:rPr>
                <w:sz w:val="18"/>
              </w:rPr>
              <w:t>3292</w:t>
            </w:r>
          </w:p>
        </w:tc>
        <w:tc>
          <w:tcPr>
            <w:tcW w:w="3180" w:type="dxa"/>
            <w:tcMar>
              <w:top w:w="0" w:type="dxa"/>
              <w:bottom w:w="0" w:type="dxa"/>
            </w:tcMar>
            <w:vAlign w:val="center"/>
          </w:tcPr>
          <w:p w14:paraId="7031498B" w14:textId="77777777" w:rsidR="00807083" w:rsidRDefault="008A23A1">
            <w:pPr>
              <w:keepNext/>
              <w:keepLines/>
              <w:spacing w:after="0" w:line="240" w:lineRule="auto"/>
            </w:pPr>
            <w:r>
              <w:rPr>
                <w:sz w:val="18"/>
              </w:rPr>
              <w:t>Premije osiguranja</w:t>
            </w:r>
          </w:p>
        </w:tc>
        <w:tc>
          <w:tcPr>
            <w:tcW w:w="700" w:type="dxa"/>
            <w:tcMar>
              <w:top w:w="0" w:type="dxa"/>
              <w:bottom w:w="0" w:type="dxa"/>
            </w:tcMar>
            <w:vAlign w:val="center"/>
          </w:tcPr>
          <w:p w14:paraId="2DDF55CE" w14:textId="77777777" w:rsidR="00807083" w:rsidRDefault="008A23A1">
            <w:pPr>
              <w:keepNext/>
              <w:keepLines/>
              <w:spacing w:after="0" w:line="240" w:lineRule="auto"/>
            </w:pPr>
            <w:r>
              <w:rPr>
                <w:sz w:val="18"/>
              </w:rPr>
              <w:t>3292</w:t>
            </w:r>
          </w:p>
        </w:tc>
        <w:tc>
          <w:tcPr>
            <w:tcW w:w="1860" w:type="dxa"/>
            <w:tcMar>
              <w:top w:w="0" w:type="dxa"/>
              <w:bottom w:w="0" w:type="dxa"/>
            </w:tcMar>
            <w:vAlign w:val="center"/>
          </w:tcPr>
          <w:p w14:paraId="6BEB807F" w14:textId="77777777" w:rsidR="00807083" w:rsidRDefault="008A23A1">
            <w:pPr>
              <w:keepNext/>
              <w:keepLines/>
              <w:spacing w:after="0" w:line="240" w:lineRule="auto"/>
              <w:jc w:val="right"/>
            </w:pPr>
            <w:r>
              <w:rPr>
                <w:sz w:val="18"/>
              </w:rPr>
              <w:t>76.051,90</w:t>
            </w:r>
          </w:p>
        </w:tc>
        <w:tc>
          <w:tcPr>
            <w:tcW w:w="1860" w:type="dxa"/>
            <w:tcMar>
              <w:top w:w="0" w:type="dxa"/>
              <w:bottom w:w="0" w:type="dxa"/>
            </w:tcMar>
            <w:vAlign w:val="center"/>
          </w:tcPr>
          <w:p w14:paraId="44AD7EF9" w14:textId="77777777" w:rsidR="00807083" w:rsidRDefault="008A23A1">
            <w:pPr>
              <w:keepNext/>
              <w:keepLines/>
              <w:spacing w:after="0" w:line="240" w:lineRule="auto"/>
              <w:jc w:val="right"/>
            </w:pPr>
            <w:r>
              <w:rPr>
                <w:sz w:val="18"/>
              </w:rPr>
              <w:t>43.157,03</w:t>
            </w:r>
          </w:p>
        </w:tc>
        <w:tc>
          <w:tcPr>
            <w:tcW w:w="700" w:type="dxa"/>
            <w:tcMar>
              <w:top w:w="0" w:type="dxa"/>
              <w:bottom w:w="0" w:type="dxa"/>
            </w:tcMar>
            <w:vAlign w:val="center"/>
          </w:tcPr>
          <w:p w14:paraId="4EECF398" w14:textId="77777777" w:rsidR="00807083" w:rsidRDefault="008A23A1">
            <w:pPr>
              <w:keepNext/>
              <w:keepLines/>
              <w:spacing w:after="0" w:line="240" w:lineRule="auto"/>
              <w:jc w:val="right"/>
            </w:pPr>
            <w:r>
              <w:rPr>
                <w:sz w:val="18"/>
              </w:rPr>
              <w:t>56,7</w:t>
            </w:r>
          </w:p>
        </w:tc>
      </w:tr>
    </w:tbl>
    <w:p w14:paraId="741387BB" w14:textId="77777777" w:rsidR="00807083" w:rsidRDefault="00807083">
      <w:pPr>
        <w:spacing w:after="0"/>
      </w:pPr>
    </w:p>
    <w:p w14:paraId="2C4B1615" w14:textId="77777777" w:rsidR="00807083" w:rsidRDefault="008A23A1">
      <w:r>
        <w:t>Smanjenje rashoda odnosi se na niže premije osiguranja zaposlenika ugovorene za izvještajno razdoblje, u odnosu na premije ugovorene u prethodnoj godini.</w:t>
      </w:r>
    </w:p>
    <w:p w14:paraId="579AF4ED" w14:textId="77777777" w:rsidR="00807083" w:rsidRDefault="00807083"/>
    <w:p w14:paraId="6EB30502" w14:textId="77777777" w:rsidR="00807083" w:rsidRDefault="008A23A1">
      <w:pPr>
        <w:keepNext/>
        <w:spacing w:line="240" w:lineRule="auto"/>
        <w:jc w:val="center"/>
      </w:pPr>
      <w:r>
        <w:rPr>
          <w:sz w:val="28"/>
        </w:rPr>
        <w:t>Bilješka 16.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62215AD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4D4008E"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42637E8"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93B7D79"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A495BA8"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B4E0790"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B84D662" w14:textId="77777777" w:rsidR="00807083" w:rsidRDefault="008A23A1">
            <w:pPr>
              <w:keepNext/>
              <w:keepLines/>
              <w:spacing w:after="0" w:line="240" w:lineRule="auto"/>
              <w:jc w:val="center"/>
            </w:pPr>
            <w:r>
              <w:rPr>
                <w:b/>
                <w:sz w:val="18"/>
              </w:rPr>
              <w:t>Indeks (%)</w:t>
            </w:r>
          </w:p>
        </w:tc>
      </w:tr>
      <w:tr w:rsidR="00807083" w14:paraId="643C5C11" w14:textId="77777777">
        <w:tblPrEx>
          <w:tblCellMar>
            <w:top w:w="0" w:type="dxa"/>
            <w:bottom w:w="0" w:type="dxa"/>
          </w:tblCellMar>
        </w:tblPrEx>
        <w:trPr>
          <w:cantSplit/>
          <w:trHeight w:val="560"/>
        </w:trPr>
        <w:tc>
          <w:tcPr>
            <w:tcW w:w="700" w:type="dxa"/>
            <w:tcMar>
              <w:top w:w="0" w:type="dxa"/>
              <w:bottom w:w="0" w:type="dxa"/>
            </w:tcMar>
            <w:vAlign w:val="center"/>
          </w:tcPr>
          <w:p w14:paraId="34A70A61" w14:textId="77777777" w:rsidR="00807083" w:rsidRDefault="008A23A1">
            <w:pPr>
              <w:keepNext/>
              <w:keepLines/>
              <w:spacing w:after="0" w:line="240" w:lineRule="auto"/>
            </w:pPr>
            <w:r>
              <w:rPr>
                <w:sz w:val="18"/>
              </w:rPr>
              <w:t>3611</w:t>
            </w:r>
          </w:p>
        </w:tc>
        <w:tc>
          <w:tcPr>
            <w:tcW w:w="3180" w:type="dxa"/>
            <w:tcMar>
              <w:top w:w="0" w:type="dxa"/>
              <w:bottom w:w="0" w:type="dxa"/>
            </w:tcMar>
            <w:vAlign w:val="center"/>
          </w:tcPr>
          <w:p w14:paraId="0745F306" w14:textId="77777777" w:rsidR="00807083" w:rsidRDefault="008A23A1">
            <w:pPr>
              <w:keepNext/>
              <w:keepLines/>
              <w:spacing w:after="0" w:line="240" w:lineRule="auto"/>
            </w:pPr>
            <w:r>
              <w:rPr>
                <w:sz w:val="18"/>
              </w:rPr>
              <w:t>Tekuće pomoći inozemnim vladama</w:t>
            </w:r>
          </w:p>
        </w:tc>
        <w:tc>
          <w:tcPr>
            <w:tcW w:w="700" w:type="dxa"/>
            <w:tcMar>
              <w:top w:w="0" w:type="dxa"/>
              <w:bottom w:w="0" w:type="dxa"/>
            </w:tcMar>
            <w:vAlign w:val="center"/>
          </w:tcPr>
          <w:p w14:paraId="2188E11B" w14:textId="77777777" w:rsidR="00807083" w:rsidRDefault="008A23A1">
            <w:pPr>
              <w:keepNext/>
              <w:keepLines/>
              <w:spacing w:after="0" w:line="240" w:lineRule="auto"/>
            </w:pPr>
            <w:r>
              <w:rPr>
                <w:sz w:val="18"/>
              </w:rPr>
              <w:t>3611</w:t>
            </w:r>
          </w:p>
        </w:tc>
        <w:tc>
          <w:tcPr>
            <w:tcW w:w="1860" w:type="dxa"/>
            <w:tcMar>
              <w:top w:w="0" w:type="dxa"/>
              <w:bottom w:w="0" w:type="dxa"/>
            </w:tcMar>
            <w:vAlign w:val="center"/>
          </w:tcPr>
          <w:p w14:paraId="1B309DEE" w14:textId="77777777" w:rsidR="00807083" w:rsidRDefault="008A23A1">
            <w:pPr>
              <w:keepNext/>
              <w:keepLines/>
              <w:spacing w:after="0" w:line="240" w:lineRule="auto"/>
              <w:jc w:val="right"/>
            </w:pPr>
            <w:r>
              <w:rPr>
                <w:sz w:val="18"/>
              </w:rPr>
              <w:t>79.501,82</w:t>
            </w:r>
          </w:p>
        </w:tc>
        <w:tc>
          <w:tcPr>
            <w:tcW w:w="1860" w:type="dxa"/>
            <w:tcMar>
              <w:top w:w="0" w:type="dxa"/>
              <w:bottom w:w="0" w:type="dxa"/>
            </w:tcMar>
            <w:vAlign w:val="center"/>
          </w:tcPr>
          <w:p w14:paraId="33277420" w14:textId="77777777" w:rsidR="00807083" w:rsidRDefault="008A23A1">
            <w:pPr>
              <w:keepNext/>
              <w:keepLines/>
              <w:spacing w:after="0" w:line="240" w:lineRule="auto"/>
              <w:jc w:val="right"/>
            </w:pPr>
            <w:r>
              <w:rPr>
                <w:sz w:val="18"/>
              </w:rPr>
              <w:t>0,00</w:t>
            </w:r>
          </w:p>
        </w:tc>
        <w:tc>
          <w:tcPr>
            <w:tcW w:w="700" w:type="dxa"/>
            <w:tcMar>
              <w:top w:w="0" w:type="dxa"/>
              <w:bottom w:w="0" w:type="dxa"/>
            </w:tcMar>
            <w:vAlign w:val="center"/>
          </w:tcPr>
          <w:p w14:paraId="0B9EC01A" w14:textId="77777777" w:rsidR="00807083" w:rsidRDefault="008A23A1">
            <w:pPr>
              <w:keepNext/>
              <w:keepLines/>
              <w:spacing w:after="0" w:line="240" w:lineRule="auto"/>
              <w:jc w:val="right"/>
            </w:pPr>
            <w:r>
              <w:rPr>
                <w:sz w:val="18"/>
              </w:rPr>
              <w:t>0</w:t>
            </w:r>
          </w:p>
        </w:tc>
      </w:tr>
    </w:tbl>
    <w:p w14:paraId="7AA4E1F9" w14:textId="77777777" w:rsidR="00807083" w:rsidRDefault="00807083">
      <w:pPr>
        <w:spacing w:after="0"/>
      </w:pPr>
    </w:p>
    <w:p w14:paraId="227DF995" w14:textId="77777777" w:rsidR="00807083" w:rsidRDefault="008A23A1">
      <w:r>
        <w:t>Na poziciji Tekuće pomoći inozemnim vladama zabilježen je potpuni pad rashoda u odnosu na prethodnu godinu, budući da je u međuvremenu završen projekt 'Podrška ostvarenju jednakih mogućnosti u obrazovanju za učenike s teškoćama u razvoju – ATTEND', u okviru kojega su navedeni rashodi prethodno bili realizirani.</w:t>
      </w:r>
    </w:p>
    <w:p w14:paraId="55DC80CD" w14:textId="77777777" w:rsidR="00807083" w:rsidRDefault="00807083"/>
    <w:p w14:paraId="074610BE" w14:textId="77777777" w:rsidR="00807083" w:rsidRDefault="008A23A1">
      <w:pPr>
        <w:keepNext/>
        <w:spacing w:line="240" w:lineRule="auto"/>
        <w:jc w:val="center"/>
      </w:pPr>
      <w:r>
        <w:rPr>
          <w:sz w:val="28"/>
        </w:rPr>
        <w:t>Bilješka 17.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65597EC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5FCFB74"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5474DFB"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B8782E7"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8B5C757"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0AD0BE7"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9AE78B4" w14:textId="77777777" w:rsidR="00807083" w:rsidRDefault="008A23A1">
            <w:pPr>
              <w:keepNext/>
              <w:keepLines/>
              <w:spacing w:after="0" w:line="240" w:lineRule="auto"/>
              <w:jc w:val="center"/>
            </w:pPr>
            <w:r>
              <w:rPr>
                <w:b/>
                <w:sz w:val="18"/>
              </w:rPr>
              <w:t>Indeks (%)</w:t>
            </w:r>
          </w:p>
        </w:tc>
      </w:tr>
      <w:tr w:rsidR="00807083" w14:paraId="1849779D" w14:textId="77777777">
        <w:tblPrEx>
          <w:tblCellMar>
            <w:top w:w="0" w:type="dxa"/>
            <w:bottom w:w="0" w:type="dxa"/>
          </w:tblCellMar>
        </w:tblPrEx>
        <w:trPr>
          <w:cantSplit/>
          <w:trHeight w:val="560"/>
        </w:trPr>
        <w:tc>
          <w:tcPr>
            <w:tcW w:w="700" w:type="dxa"/>
            <w:tcMar>
              <w:top w:w="0" w:type="dxa"/>
              <w:bottom w:w="0" w:type="dxa"/>
            </w:tcMar>
            <w:vAlign w:val="center"/>
          </w:tcPr>
          <w:p w14:paraId="3561C65A" w14:textId="77777777" w:rsidR="00807083" w:rsidRDefault="008A23A1">
            <w:pPr>
              <w:keepNext/>
              <w:keepLines/>
              <w:spacing w:after="0" w:line="240" w:lineRule="auto"/>
            </w:pPr>
            <w:r>
              <w:rPr>
                <w:sz w:val="18"/>
              </w:rPr>
              <w:t>3721</w:t>
            </w:r>
          </w:p>
        </w:tc>
        <w:tc>
          <w:tcPr>
            <w:tcW w:w="3180" w:type="dxa"/>
            <w:tcMar>
              <w:top w:w="0" w:type="dxa"/>
              <w:bottom w:w="0" w:type="dxa"/>
            </w:tcMar>
            <w:vAlign w:val="center"/>
          </w:tcPr>
          <w:p w14:paraId="030342AA" w14:textId="77777777" w:rsidR="00807083" w:rsidRDefault="008A23A1">
            <w:pPr>
              <w:keepNext/>
              <w:keepLines/>
              <w:spacing w:after="0" w:line="240" w:lineRule="auto"/>
            </w:pPr>
            <w:r>
              <w:rPr>
                <w:sz w:val="18"/>
              </w:rPr>
              <w:t>Naknade građanima i kućanstvima u novcu</w:t>
            </w:r>
          </w:p>
        </w:tc>
        <w:tc>
          <w:tcPr>
            <w:tcW w:w="700" w:type="dxa"/>
            <w:tcMar>
              <w:top w:w="0" w:type="dxa"/>
              <w:bottom w:w="0" w:type="dxa"/>
            </w:tcMar>
            <w:vAlign w:val="center"/>
          </w:tcPr>
          <w:p w14:paraId="2F2130AD" w14:textId="77777777" w:rsidR="00807083" w:rsidRDefault="008A23A1">
            <w:pPr>
              <w:keepNext/>
              <w:keepLines/>
              <w:spacing w:after="0" w:line="240" w:lineRule="auto"/>
            </w:pPr>
            <w:r>
              <w:rPr>
                <w:sz w:val="18"/>
              </w:rPr>
              <w:t>3721</w:t>
            </w:r>
          </w:p>
        </w:tc>
        <w:tc>
          <w:tcPr>
            <w:tcW w:w="1860" w:type="dxa"/>
            <w:tcMar>
              <w:top w:w="0" w:type="dxa"/>
              <w:bottom w:w="0" w:type="dxa"/>
            </w:tcMar>
            <w:vAlign w:val="center"/>
          </w:tcPr>
          <w:p w14:paraId="27552A2E" w14:textId="77777777" w:rsidR="00807083" w:rsidRDefault="008A23A1">
            <w:pPr>
              <w:keepNext/>
              <w:keepLines/>
              <w:spacing w:after="0" w:line="240" w:lineRule="auto"/>
              <w:jc w:val="right"/>
            </w:pPr>
            <w:r>
              <w:rPr>
                <w:sz w:val="18"/>
              </w:rPr>
              <w:t>45.969,40</w:t>
            </w:r>
          </w:p>
        </w:tc>
        <w:tc>
          <w:tcPr>
            <w:tcW w:w="1860" w:type="dxa"/>
            <w:tcMar>
              <w:top w:w="0" w:type="dxa"/>
              <w:bottom w:w="0" w:type="dxa"/>
            </w:tcMar>
            <w:vAlign w:val="center"/>
          </w:tcPr>
          <w:p w14:paraId="093FDC37" w14:textId="77777777" w:rsidR="00807083" w:rsidRDefault="008A23A1">
            <w:pPr>
              <w:keepNext/>
              <w:keepLines/>
              <w:spacing w:after="0" w:line="240" w:lineRule="auto"/>
              <w:jc w:val="right"/>
            </w:pPr>
            <w:r>
              <w:rPr>
                <w:sz w:val="18"/>
              </w:rPr>
              <w:t>75.661,84</w:t>
            </w:r>
          </w:p>
        </w:tc>
        <w:tc>
          <w:tcPr>
            <w:tcW w:w="700" w:type="dxa"/>
            <w:tcMar>
              <w:top w:w="0" w:type="dxa"/>
              <w:bottom w:w="0" w:type="dxa"/>
            </w:tcMar>
            <w:vAlign w:val="center"/>
          </w:tcPr>
          <w:p w14:paraId="71EFD19D" w14:textId="77777777" w:rsidR="00807083" w:rsidRDefault="008A23A1">
            <w:pPr>
              <w:keepNext/>
              <w:keepLines/>
              <w:spacing w:after="0" w:line="240" w:lineRule="auto"/>
              <w:jc w:val="right"/>
            </w:pPr>
            <w:r>
              <w:rPr>
                <w:sz w:val="18"/>
              </w:rPr>
              <w:t>164,6</w:t>
            </w:r>
          </w:p>
        </w:tc>
      </w:tr>
    </w:tbl>
    <w:p w14:paraId="557E7403" w14:textId="77777777" w:rsidR="00807083" w:rsidRDefault="00807083">
      <w:pPr>
        <w:spacing w:after="0"/>
      </w:pPr>
    </w:p>
    <w:p w14:paraId="6F3576D8" w14:textId="77777777" w:rsidR="00807083" w:rsidRDefault="008A23A1">
      <w:r>
        <w:t>Na poziciji stipendije i školarine je došlo do povećanja jer su u ovoj godini planirana i usvojena veća sredstva za školovanje zaposlenika kako bi stekli nova znanja, vještine, sposobnosti i kvalifikacije, te time pridonijeli stručnoj sposobnosti, učinkovitosti i djelotvornosti, te samim time povećanju uspješnosti CARNET-a kao organizacije koja djeluje u javnom interesu.</w:t>
      </w:r>
    </w:p>
    <w:p w14:paraId="711D41EA" w14:textId="77777777" w:rsidR="00807083" w:rsidRDefault="00807083"/>
    <w:p w14:paraId="0A769B2F" w14:textId="77777777" w:rsidR="00807083" w:rsidRDefault="008A23A1">
      <w:pPr>
        <w:keepNext/>
        <w:spacing w:line="240" w:lineRule="auto"/>
        <w:jc w:val="center"/>
      </w:pPr>
      <w:r>
        <w:rPr>
          <w:sz w:val="28"/>
        </w:rPr>
        <w:t>Bilješka 18.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0C7A7DC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32C0037"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A1102EA"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9A9A90C"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CC6FA44"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87BD26E"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14483A1" w14:textId="77777777" w:rsidR="00807083" w:rsidRDefault="008A23A1">
            <w:pPr>
              <w:keepNext/>
              <w:keepLines/>
              <w:spacing w:after="0" w:line="240" w:lineRule="auto"/>
              <w:jc w:val="center"/>
            </w:pPr>
            <w:r>
              <w:rPr>
                <w:b/>
                <w:sz w:val="18"/>
              </w:rPr>
              <w:t>Indeks (%)</w:t>
            </w:r>
          </w:p>
        </w:tc>
      </w:tr>
      <w:tr w:rsidR="00807083" w14:paraId="49DBB85E" w14:textId="77777777">
        <w:tblPrEx>
          <w:tblCellMar>
            <w:top w:w="0" w:type="dxa"/>
            <w:bottom w:w="0" w:type="dxa"/>
          </w:tblCellMar>
        </w:tblPrEx>
        <w:trPr>
          <w:cantSplit/>
          <w:trHeight w:val="560"/>
        </w:trPr>
        <w:tc>
          <w:tcPr>
            <w:tcW w:w="700" w:type="dxa"/>
            <w:tcMar>
              <w:top w:w="0" w:type="dxa"/>
              <w:bottom w:w="0" w:type="dxa"/>
            </w:tcMar>
            <w:vAlign w:val="center"/>
          </w:tcPr>
          <w:p w14:paraId="5237D6F1" w14:textId="77777777" w:rsidR="00807083" w:rsidRDefault="008A23A1">
            <w:pPr>
              <w:keepNext/>
              <w:keepLines/>
              <w:spacing w:after="0" w:line="240" w:lineRule="auto"/>
            </w:pPr>
            <w:r>
              <w:rPr>
                <w:sz w:val="18"/>
              </w:rPr>
              <w:t>4124</w:t>
            </w:r>
          </w:p>
        </w:tc>
        <w:tc>
          <w:tcPr>
            <w:tcW w:w="3180" w:type="dxa"/>
            <w:tcMar>
              <w:top w:w="0" w:type="dxa"/>
              <w:bottom w:w="0" w:type="dxa"/>
            </w:tcMar>
            <w:vAlign w:val="center"/>
          </w:tcPr>
          <w:p w14:paraId="433DB65D" w14:textId="77777777" w:rsidR="00807083" w:rsidRDefault="008A23A1">
            <w:pPr>
              <w:keepNext/>
              <w:keepLines/>
              <w:spacing w:after="0" w:line="240" w:lineRule="auto"/>
            </w:pPr>
            <w:r>
              <w:rPr>
                <w:sz w:val="18"/>
              </w:rPr>
              <w:t>Ostala prava</w:t>
            </w:r>
          </w:p>
        </w:tc>
        <w:tc>
          <w:tcPr>
            <w:tcW w:w="700" w:type="dxa"/>
            <w:tcMar>
              <w:top w:w="0" w:type="dxa"/>
              <w:bottom w:w="0" w:type="dxa"/>
            </w:tcMar>
            <w:vAlign w:val="center"/>
          </w:tcPr>
          <w:p w14:paraId="3189ED52" w14:textId="77777777" w:rsidR="00807083" w:rsidRDefault="008A23A1">
            <w:pPr>
              <w:keepNext/>
              <w:keepLines/>
              <w:spacing w:after="0" w:line="240" w:lineRule="auto"/>
            </w:pPr>
            <w:r>
              <w:rPr>
                <w:sz w:val="18"/>
              </w:rPr>
              <w:t>4124</w:t>
            </w:r>
          </w:p>
        </w:tc>
        <w:tc>
          <w:tcPr>
            <w:tcW w:w="1860" w:type="dxa"/>
            <w:tcMar>
              <w:top w:w="0" w:type="dxa"/>
              <w:bottom w:w="0" w:type="dxa"/>
            </w:tcMar>
            <w:vAlign w:val="center"/>
          </w:tcPr>
          <w:p w14:paraId="13622CF9" w14:textId="77777777" w:rsidR="00807083" w:rsidRDefault="008A23A1">
            <w:pPr>
              <w:keepNext/>
              <w:keepLines/>
              <w:spacing w:after="0" w:line="240" w:lineRule="auto"/>
              <w:jc w:val="right"/>
            </w:pPr>
            <w:r>
              <w:rPr>
                <w:sz w:val="18"/>
              </w:rPr>
              <w:t>307.500,00</w:t>
            </w:r>
          </w:p>
        </w:tc>
        <w:tc>
          <w:tcPr>
            <w:tcW w:w="1860" w:type="dxa"/>
            <w:tcMar>
              <w:top w:w="0" w:type="dxa"/>
              <w:bottom w:w="0" w:type="dxa"/>
            </w:tcMar>
            <w:vAlign w:val="center"/>
          </w:tcPr>
          <w:p w14:paraId="3863F931" w14:textId="77777777" w:rsidR="00807083" w:rsidRDefault="008A23A1">
            <w:pPr>
              <w:keepNext/>
              <w:keepLines/>
              <w:spacing w:after="0" w:line="240" w:lineRule="auto"/>
              <w:jc w:val="right"/>
            </w:pPr>
            <w:r>
              <w:rPr>
                <w:sz w:val="18"/>
              </w:rPr>
              <w:t>0,00</w:t>
            </w:r>
          </w:p>
        </w:tc>
        <w:tc>
          <w:tcPr>
            <w:tcW w:w="700" w:type="dxa"/>
            <w:tcMar>
              <w:top w:w="0" w:type="dxa"/>
              <w:bottom w:w="0" w:type="dxa"/>
            </w:tcMar>
            <w:vAlign w:val="center"/>
          </w:tcPr>
          <w:p w14:paraId="6E5B9122" w14:textId="77777777" w:rsidR="00807083" w:rsidRDefault="008A23A1">
            <w:pPr>
              <w:keepNext/>
              <w:keepLines/>
              <w:spacing w:after="0" w:line="240" w:lineRule="auto"/>
              <w:jc w:val="right"/>
            </w:pPr>
            <w:r>
              <w:rPr>
                <w:sz w:val="18"/>
              </w:rPr>
              <w:t>0</w:t>
            </w:r>
          </w:p>
        </w:tc>
      </w:tr>
    </w:tbl>
    <w:p w14:paraId="0D3CC119" w14:textId="77777777" w:rsidR="00807083" w:rsidRDefault="00807083">
      <w:pPr>
        <w:spacing w:after="0"/>
      </w:pPr>
    </w:p>
    <w:p w14:paraId="6EC8927A" w14:textId="77777777" w:rsidR="00807083" w:rsidRDefault="008A23A1">
      <w:r>
        <w:lastRenderedPageBreak/>
        <w:t>Tijekom 2024. godine na kontu 4124 evidentirana su ulaganja koja se odnose na nadogradnju informacijskog sustava e-Matica. U 2025. godini na navedenom kontu nije bilo poslovnih promjena.</w:t>
      </w:r>
    </w:p>
    <w:p w14:paraId="1FA84D94" w14:textId="77777777" w:rsidR="00807083" w:rsidRDefault="00807083"/>
    <w:p w14:paraId="16B4F8F7" w14:textId="77777777" w:rsidR="00807083" w:rsidRDefault="008A23A1">
      <w:pPr>
        <w:keepNext/>
        <w:spacing w:line="240" w:lineRule="auto"/>
        <w:jc w:val="center"/>
      </w:pPr>
      <w:r>
        <w:rPr>
          <w:sz w:val="28"/>
        </w:rPr>
        <w:t>Bilješka 19.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4A3A28F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7BFD92C"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5FB44B9"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38861F3"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2225A9A"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AFAB00B"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E4077A1" w14:textId="77777777" w:rsidR="00807083" w:rsidRDefault="008A23A1">
            <w:pPr>
              <w:keepNext/>
              <w:keepLines/>
              <w:spacing w:after="0" w:line="240" w:lineRule="auto"/>
              <w:jc w:val="center"/>
            </w:pPr>
            <w:r>
              <w:rPr>
                <w:b/>
                <w:sz w:val="18"/>
              </w:rPr>
              <w:t>Indeks (%)</w:t>
            </w:r>
          </w:p>
        </w:tc>
      </w:tr>
      <w:tr w:rsidR="00807083" w14:paraId="275D5530" w14:textId="77777777">
        <w:tblPrEx>
          <w:tblCellMar>
            <w:top w:w="0" w:type="dxa"/>
            <w:bottom w:w="0" w:type="dxa"/>
          </w:tblCellMar>
        </w:tblPrEx>
        <w:trPr>
          <w:cantSplit/>
          <w:trHeight w:val="560"/>
        </w:trPr>
        <w:tc>
          <w:tcPr>
            <w:tcW w:w="700" w:type="dxa"/>
            <w:tcMar>
              <w:top w:w="0" w:type="dxa"/>
              <w:bottom w:w="0" w:type="dxa"/>
            </w:tcMar>
            <w:vAlign w:val="center"/>
          </w:tcPr>
          <w:p w14:paraId="34425E87" w14:textId="77777777" w:rsidR="00807083" w:rsidRDefault="008A23A1">
            <w:pPr>
              <w:keepNext/>
              <w:keepLines/>
              <w:spacing w:after="0" w:line="240" w:lineRule="auto"/>
            </w:pPr>
            <w:r>
              <w:rPr>
                <w:sz w:val="18"/>
              </w:rPr>
              <w:t>4214</w:t>
            </w:r>
          </w:p>
        </w:tc>
        <w:tc>
          <w:tcPr>
            <w:tcW w:w="3180" w:type="dxa"/>
            <w:tcMar>
              <w:top w:w="0" w:type="dxa"/>
              <w:bottom w:w="0" w:type="dxa"/>
            </w:tcMar>
            <w:vAlign w:val="center"/>
          </w:tcPr>
          <w:p w14:paraId="71312FDD" w14:textId="77777777" w:rsidR="00807083" w:rsidRDefault="008A23A1">
            <w:pPr>
              <w:keepNext/>
              <w:keepLines/>
              <w:spacing w:after="0" w:line="240" w:lineRule="auto"/>
            </w:pPr>
            <w:r>
              <w:rPr>
                <w:sz w:val="18"/>
              </w:rPr>
              <w:t>Ostali građevinski objekti</w:t>
            </w:r>
          </w:p>
        </w:tc>
        <w:tc>
          <w:tcPr>
            <w:tcW w:w="700" w:type="dxa"/>
            <w:tcMar>
              <w:top w:w="0" w:type="dxa"/>
              <w:bottom w:w="0" w:type="dxa"/>
            </w:tcMar>
            <w:vAlign w:val="center"/>
          </w:tcPr>
          <w:p w14:paraId="070634CA" w14:textId="77777777" w:rsidR="00807083" w:rsidRDefault="008A23A1">
            <w:pPr>
              <w:keepNext/>
              <w:keepLines/>
              <w:spacing w:after="0" w:line="240" w:lineRule="auto"/>
            </w:pPr>
            <w:r>
              <w:rPr>
                <w:sz w:val="18"/>
              </w:rPr>
              <w:t>4214</w:t>
            </w:r>
          </w:p>
        </w:tc>
        <w:tc>
          <w:tcPr>
            <w:tcW w:w="1860" w:type="dxa"/>
            <w:tcMar>
              <w:top w:w="0" w:type="dxa"/>
              <w:bottom w:w="0" w:type="dxa"/>
            </w:tcMar>
            <w:vAlign w:val="center"/>
          </w:tcPr>
          <w:p w14:paraId="1423D478" w14:textId="77777777" w:rsidR="00807083" w:rsidRDefault="008A23A1">
            <w:pPr>
              <w:keepNext/>
              <w:keepLines/>
              <w:spacing w:after="0" w:line="240" w:lineRule="auto"/>
              <w:jc w:val="right"/>
            </w:pPr>
            <w:r>
              <w:rPr>
                <w:sz w:val="18"/>
              </w:rPr>
              <w:t>28.323,75</w:t>
            </w:r>
          </w:p>
        </w:tc>
        <w:tc>
          <w:tcPr>
            <w:tcW w:w="1860" w:type="dxa"/>
            <w:tcMar>
              <w:top w:w="0" w:type="dxa"/>
              <w:bottom w:w="0" w:type="dxa"/>
            </w:tcMar>
            <w:vAlign w:val="center"/>
          </w:tcPr>
          <w:p w14:paraId="3D9AC414" w14:textId="77777777" w:rsidR="00807083" w:rsidRDefault="008A23A1">
            <w:pPr>
              <w:keepNext/>
              <w:keepLines/>
              <w:spacing w:after="0" w:line="240" w:lineRule="auto"/>
              <w:jc w:val="right"/>
            </w:pPr>
            <w:r>
              <w:rPr>
                <w:sz w:val="18"/>
              </w:rPr>
              <w:t>65.172,33</w:t>
            </w:r>
          </w:p>
        </w:tc>
        <w:tc>
          <w:tcPr>
            <w:tcW w:w="700" w:type="dxa"/>
            <w:tcMar>
              <w:top w:w="0" w:type="dxa"/>
              <w:bottom w:w="0" w:type="dxa"/>
            </w:tcMar>
            <w:vAlign w:val="center"/>
          </w:tcPr>
          <w:p w14:paraId="75610DDA" w14:textId="77777777" w:rsidR="00807083" w:rsidRDefault="008A23A1">
            <w:pPr>
              <w:keepNext/>
              <w:keepLines/>
              <w:spacing w:after="0" w:line="240" w:lineRule="auto"/>
              <w:jc w:val="right"/>
            </w:pPr>
            <w:r>
              <w:rPr>
                <w:sz w:val="18"/>
              </w:rPr>
              <w:t>230,1</w:t>
            </w:r>
          </w:p>
        </w:tc>
      </w:tr>
    </w:tbl>
    <w:p w14:paraId="4299E8FB" w14:textId="77777777" w:rsidR="00807083" w:rsidRDefault="00807083">
      <w:pPr>
        <w:spacing w:after="0"/>
      </w:pPr>
    </w:p>
    <w:p w14:paraId="258BB728" w14:textId="77777777" w:rsidR="00807083" w:rsidRDefault="008A23A1">
      <w:r>
        <w:t>Na poziciji Energetski i komunikacijski vodovi došlo je do povećanja u odnosu na 2024. godinu. Povećanje se odnosi na ulaganja u proširenje infrastrukture optičke mreže na području grada Splita, provedena s ciljem modernizacije, povećanja kapaciteta te osiguranja dugoročne funkcionalnosti i pouzdanosti mrežne infrastrukture.</w:t>
      </w:r>
    </w:p>
    <w:p w14:paraId="7BFE486D" w14:textId="77777777" w:rsidR="00807083" w:rsidRDefault="00807083"/>
    <w:p w14:paraId="652D8810" w14:textId="77777777" w:rsidR="00807083" w:rsidRDefault="008A23A1">
      <w:pPr>
        <w:keepNext/>
        <w:spacing w:line="240" w:lineRule="auto"/>
        <w:jc w:val="center"/>
      </w:pPr>
      <w:r>
        <w:rPr>
          <w:sz w:val="28"/>
        </w:rPr>
        <w:t>Bilješka 20.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17642C9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EC9C16E"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D0E56DA"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A26C461"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C48BF9C"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DEBC5F9"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916B681" w14:textId="77777777" w:rsidR="00807083" w:rsidRDefault="008A23A1">
            <w:pPr>
              <w:keepNext/>
              <w:keepLines/>
              <w:spacing w:after="0" w:line="240" w:lineRule="auto"/>
              <w:jc w:val="center"/>
            </w:pPr>
            <w:r>
              <w:rPr>
                <w:b/>
                <w:sz w:val="18"/>
              </w:rPr>
              <w:t>Indeks (%)</w:t>
            </w:r>
          </w:p>
        </w:tc>
      </w:tr>
      <w:tr w:rsidR="00807083" w14:paraId="1D913C2A" w14:textId="77777777">
        <w:tblPrEx>
          <w:tblCellMar>
            <w:top w:w="0" w:type="dxa"/>
            <w:bottom w:w="0" w:type="dxa"/>
          </w:tblCellMar>
        </w:tblPrEx>
        <w:trPr>
          <w:cantSplit/>
          <w:trHeight w:val="560"/>
        </w:trPr>
        <w:tc>
          <w:tcPr>
            <w:tcW w:w="700" w:type="dxa"/>
            <w:tcMar>
              <w:top w:w="0" w:type="dxa"/>
              <w:bottom w:w="0" w:type="dxa"/>
            </w:tcMar>
            <w:vAlign w:val="center"/>
          </w:tcPr>
          <w:p w14:paraId="790E3E8A" w14:textId="77777777" w:rsidR="00807083" w:rsidRDefault="008A23A1">
            <w:pPr>
              <w:keepNext/>
              <w:keepLines/>
              <w:spacing w:after="0" w:line="240" w:lineRule="auto"/>
            </w:pPr>
            <w:r>
              <w:rPr>
                <w:sz w:val="18"/>
              </w:rPr>
              <w:t>4221</w:t>
            </w:r>
          </w:p>
        </w:tc>
        <w:tc>
          <w:tcPr>
            <w:tcW w:w="3180" w:type="dxa"/>
            <w:tcMar>
              <w:top w:w="0" w:type="dxa"/>
              <w:bottom w:w="0" w:type="dxa"/>
            </w:tcMar>
            <w:vAlign w:val="center"/>
          </w:tcPr>
          <w:p w14:paraId="3282371C" w14:textId="77777777" w:rsidR="00807083" w:rsidRDefault="008A23A1">
            <w:pPr>
              <w:keepNext/>
              <w:keepLines/>
              <w:spacing w:after="0" w:line="240" w:lineRule="auto"/>
            </w:pPr>
            <w:r>
              <w:rPr>
                <w:sz w:val="18"/>
              </w:rPr>
              <w:t>Uredska oprema i namještaj</w:t>
            </w:r>
          </w:p>
        </w:tc>
        <w:tc>
          <w:tcPr>
            <w:tcW w:w="700" w:type="dxa"/>
            <w:tcMar>
              <w:top w:w="0" w:type="dxa"/>
              <w:bottom w:w="0" w:type="dxa"/>
            </w:tcMar>
            <w:vAlign w:val="center"/>
          </w:tcPr>
          <w:p w14:paraId="4888F421" w14:textId="77777777" w:rsidR="00807083" w:rsidRDefault="008A23A1">
            <w:pPr>
              <w:keepNext/>
              <w:keepLines/>
              <w:spacing w:after="0" w:line="240" w:lineRule="auto"/>
            </w:pPr>
            <w:r>
              <w:rPr>
                <w:sz w:val="18"/>
              </w:rPr>
              <w:t>4221</w:t>
            </w:r>
          </w:p>
        </w:tc>
        <w:tc>
          <w:tcPr>
            <w:tcW w:w="1860" w:type="dxa"/>
            <w:tcMar>
              <w:top w:w="0" w:type="dxa"/>
              <w:bottom w:w="0" w:type="dxa"/>
            </w:tcMar>
            <w:vAlign w:val="center"/>
          </w:tcPr>
          <w:p w14:paraId="490A705A" w14:textId="77777777" w:rsidR="00807083" w:rsidRDefault="008A23A1">
            <w:pPr>
              <w:keepNext/>
              <w:keepLines/>
              <w:spacing w:after="0" w:line="240" w:lineRule="auto"/>
              <w:jc w:val="right"/>
            </w:pPr>
            <w:r>
              <w:rPr>
                <w:sz w:val="18"/>
              </w:rPr>
              <w:t>5.808.376,22</w:t>
            </w:r>
          </w:p>
        </w:tc>
        <w:tc>
          <w:tcPr>
            <w:tcW w:w="1860" w:type="dxa"/>
            <w:tcMar>
              <w:top w:w="0" w:type="dxa"/>
              <w:bottom w:w="0" w:type="dxa"/>
            </w:tcMar>
            <w:vAlign w:val="center"/>
          </w:tcPr>
          <w:p w14:paraId="308508C9" w14:textId="77777777" w:rsidR="00807083" w:rsidRDefault="008A23A1">
            <w:pPr>
              <w:keepNext/>
              <w:keepLines/>
              <w:spacing w:after="0" w:line="240" w:lineRule="auto"/>
              <w:jc w:val="right"/>
            </w:pPr>
            <w:r>
              <w:rPr>
                <w:sz w:val="18"/>
              </w:rPr>
              <w:t>1.167.943,08</w:t>
            </w:r>
          </w:p>
        </w:tc>
        <w:tc>
          <w:tcPr>
            <w:tcW w:w="700" w:type="dxa"/>
            <w:tcMar>
              <w:top w:w="0" w:type="dxa"/>
              <w:bottom w:w="0" w:type="dxa"/>
            </w:tcMar>
            <w:vAlign w:val="center"/>
          </w:tcPr>
          <w:p w14:paraId="7AAEC38F" w14:textId="77777777" w:rsidR="00807083" w:rsidRDefault="008A23A1">
            <w:pPr>
              <w:keepNext/>
              <w:keepLines/>
              <w:spacing w:after="0" w:line="240" w:lineRule="auto"/>
              <w:jc w:val="right"/>
            </w:pPr>
            <w:r>
              <w:rPr>
                <w:sz w:val="18"/>
              </w:rPr>
              <w:t>20,1</w:t>
            </w:r>
          </w:p>
        </w:tc>
      </w:tr>
    </w:tbl>
    <w:p w14:paraId="67BDCA6F" w14:textId="77777777" w:rsidR="00807083" w:rsidRDefault="00807083">
      <w:pPr>
        <w:spacing w:after="0"/>
      </w:pPr>
    </w:p>
    <w:p w14:paraId="770BE07C" w14:textId="77777777" w:rsidR="00807083" w:rsidRDefault="008A23A1">
      <w:r>
        <w:t>Stavka Uredska oprema i namještaj u promatranom razdoblju bilježi smanjenje u odnosu na isto izvještajno razdoblje prethodne godine. Smanjenje je najvećim dijelom rezultat završetka provedbe projekta 'Podrška ostvarenju jednakih mogućnosti u obrazovanju za učenike s teškoćama u razvoju – ATTEND', u sklopu kojeg je prethodno izvršena nabava pomoćne digitalne tehnologije i opreme.</w:t>
      </w:r>
    </w:p>
    <w:p w14:paraId="1DAFDEEC" w14:textId="77777777" w:rsidR="00807083" w:rsidRDefault="00807083"/>
    <w:p w14:paraId="7F07D088" w14:textId="77777777" w:rsidR="00807083" w:rsidRDefault="008A23A1">
      <w:pPr>
        <w:keepNext/>
        <w:spacing w:line="240" w:lineRule="auto"/>
        <w:jc w:val="center"/>
      </w:pPr>
      <w:r>
        <w:rPr>
          <w:sz w:val="28"/>
        </w:rPr>
        <w:t>Bilješka 21.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02CE2EE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9D7F893"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D681352"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CB9E431"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273F681" w14:textId="77777777" w:rsidR="00807083" w:rsidRDefault="008A23A1">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5C4905F" w14:textId="77777777" w:rsidR="00807083" w:rsidRDefault="008A23A1">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0E380BB" w14:textId="77777777" w:rsidR="00807083" w:rsidRDefault="008A23A1">
            <w:pPr>
              <w:keepNext/>
              <w:keepLines/>
              <w:spacing w:after="0" w:line="240" w:lineRule="auto"/>
              <w:jc w:val="center"/>
            </w:pPr>
            <w:r>
              <w:rPr>
                <w:b/>
                <w:sz w:val="18"/>
              </w:rPr>
              <w:t>Indeks (%)</w:t>
            </w:r>
          </w:p>
        </w:tc>
      </w:tr>
      <w:tr w:rsidR="00807083" w14:paraId="00EEDE51" w14:textId="77777777">
        <w:tblPrEx>
          <w:tblCellMar>
            <w:top w:w="0" w:type="dxa"/>
            <w:bottom w:w="0" w:type="dxa"/>
          </w:tblCellMar>
        </w:tblPrEx>
        <w:trPr>
          <w:cantSplit/>
          <w:trHeight w:val="560"/>
        </w:trPr>
        <w:tc>
          <w:tcPr>
            <w:tcW w:w="700" w:type="dxa"/>
            <w:tcMar>
              <w:top w:w="0" w:type="dxa"/>
              <w:bottom w:w="0" w:type="dxa"/>
            </w:tcMar>
            <w:vAlign w:val="center"/>
          </w:tcPr>
          <w:p w14:paraId="3AEAD4EC" w14:textId="77777777" w:rsidR="00807083" w:rsidRDefault="008A23A1">
            <w:pPr>
              <w:keepNext/>
              <w:keepLines/>
              <w:spacing w:after="0" w:line="240" w:lineRule="auto"/>
            </w:pPr>
            <w:r>
              <w:rPr>
                <w:sz w:val="18"/>
              </w:rPr>
              <w:t>4222</w:t>
            </w:r>
          </w:p>
        </w:tc>
        <w:tc>
          <w:tcPr>
            <w:tcW w:w="3180" w:type="dxa"/>
            <w:tcMar>
              <w:top w:w="0" w:type="dxa"/>
              <w:bottom w:w="0" w:type="dxa"/>
            </w:tcMar>
            <w:vAlign w:val="center"/>
          </w:tcPr>
          <w:p w14:paraId="5DF73CA0" w14:textId="77777777" w:rsidR="00807083" w:rsidRDefault="008A23A1">
            <w:pPr>
              <w:keepNext/>
              <w:keepLines/>
              <w:spacing w:after="0" w:line="240" w:lineRule="auto"/>
            </w:pPr>
            <w:r>
              <w:rPr>
                <w:sz w:val="18"/>
              </w:rPr>
              <w:t>Komunikacijska oprema</w:t>
            </w:r>
          </w:p>
        </w:tc>
        <w:tc>
          <w:tcPr>
            <w:tcW w:w="700" w:type="dxa"/>
            <w:tcMar>
              <w:top w:w="0" w:type="dxa"/>
              <w:bottom w:w="0" w:type="dxa"/>
            </w:tcMar>
            <w:vAlign w:val="center"/>
          </w:tcPr>
          <w:p w14:paraId="70DD9D44" w14:textId="77777777" w:rsidR="00807083" w:rsidRDefault="008A23A1">
            <w:pPr>
              <w:keepNext/>
              <w:keepLines/>
              <w:spacing w:after="0" w:line="240" w:lineRule="auto"/>
            </w:pPr>
            <w:r>
              <w:rPr>
                <w:sz w:val="18"/>
              </w:rPr>
              <w:t>4222</w:t>
            </w:r>
          </w:p>
        </w:tc>
        <w:tc>
          <w:tcPr>
            <w:tcW w:w="1860" w:type="dxa"/>
            <w:tcMar>
              <w:top w:w="0" w:type="dxa"/>
              <w:bottom w:w="0" w:type="dxa"/>
            </w:tcMar>
            <w:vAlign w:val="center"/>
          </w:tcPr>
          <w:p w14:paraId="00E71D10" w14:textId="77777777" w:rsidR="00807083" w:rsidRDefault="008A23A1">
            <w:pPr>
              <w:keepNext/>
              <w:keepLines/>
              <w:spacing w:after="0" w:line="240" w:lineRule="auto"/>
              <w:jc w:val="right"/>
            </w:pPr>
            <w:r>
              <w:rPr>
                <w:sz w:val="18"/>
              </w:rPr>
              <w:t>425.446,07</w:t>
            </w:r>
          </w:p>
        </w:tc>
        <w:tc>
          <w:tcPr>
            <w:tcW w:w="1860" w:type="dxa"/>
            <w:tcMar>
              <w:top w:w="0" w:type="dxa"/>
              <w:bottom w:w="0" w:type="dxa"/>
            </w:tcMar>
            <w:vAlign w:val="center"/>
          </w:tcPr>
          <w:p w14:paraId="3D529CE5" w14:textId="77777777" w:rsidR="00807083" w:rsidRDefault="008A23A1">
            <w:pPr>
              <w:keepNext/>
              <w:keepLines/>
              <w:spacing w:after="0" w:line="240" w:lineRule="auto"/>
              <w:jc w:val="right"/>
            </w:pPr>
            <w:r>
              <w:rPr>
                <w:sz w:val="18"/>
              </w:rPr>
              <w:t>2.549.671,30</w:t>
            </w:r>
          </w:p>
        </w:tc>
        <w:tc>
          <w:tcPr>
            <w:tcW w:w="700" w:type="dxa"/>
            <w:tcMar>
              <w:top w:w="0" w:type="dxa"/>
              <w:bottom w:w="0" w:type="dxa"/>
            </w:tcMar>
            <w:vAlign w:val="center"/>
          </w:tcPr>
          <w:p w14:paraId="2559CBDF" w14:textId="77777777" w:rsidR="00807083" w:rsidRDefault="008A23A1">
            <w:pPr>
              <w:keepNext/>
              <w:keepLines/>
              <w:spacing w:after="0" w:line="240" w:lineRule="auto"/>
              <w:jc w:val="right"/>
            </w:pPr>
            <w:r>
              <w:rPr>
                <w:sz w:val="18"/>
              </w:rPr>
              <w:t>599,3</w:t>
            </w:r>
          </w:p>
        </w:tc>
      </w:tr>
    </w:tbl>
    <w:p w14:paraId="66D374A8" w14:textId="77777777" w:rsidR="00807083" w:rsidRDefault="00807083">
      <w:pPr>
        <w:spacing w:after="0"/>
      </w:pPr>
    </w:p>
    <w:p w14:paraId="592F49D1" w14:textId="77777777" w:rsidR="00807083" w:rsidRDefault="008A23A1">
      <w:r>
        <w:t>Na poziciji Komunikacijska oprema bilježi se povećanje u odnosu na isto izvještajno razdoblje prethodne godine. Povećanje je rezultat realizacije projekta e-Sveučilišta u okviru kojeg je izvršena nabava mrežne infrastrukture, koja je evidentirana kao imovina sukladno važećim propisima proračunskog računovodstva.</w:t>
      </w:r>
    </w:p>
    <w:p w14:paraId="062FB4BD" w14:textId="77777777" w:rsidR="00807083" w:rsidRDefault="00807083"/>
    <w:p w14:paraId="6F357A05" w14:textId="77777777" w:rsidR="00807083" w:rsidRDefault="008A23A1">
      <w:pPr>
        <w:keepNext/>
        <w:spacing w:line="240" w:lineRule="auto"/>
        <w:jc w:val="center"/>
      </w:pPr>
      <w:r>
        <w:rPr>
          <w:b/>
          <w:sz w:val="28"/>
        </w:rPr>
        <w:lastRenderedPageBreak/>
        <w:t>Bilanca</w:t>
      </w:r>
    </w:p>
    <w:p w14:paraId="7196F6F8" w14:textId="77777777" w:rsidR="00807083" w:rsidRDefault="008A23A1">
      <w:pPr>
        <w:keepNext/>
        <w:spacing w:line="240" w:lineRule="auto"/>
        <w:jc w:val="center"/>
      </w:pPr>
      <w:r>
        <w:rPr>
          <w:sz w:val="28"/>
        </w:rPr>
        <w:t>Bilješka 22.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7ED91CD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78D6A53"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734D117"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0461826"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C195DDE"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7432F559"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1FB4028" w14:textId="77777777" w:rsidR="00807083" w:rsidRDefault="008A23A1">
            <w:pPr>
              <w:keepNext/>
              <w:keepLines/>
              <w:spacing w:after="0" w:line="240" w:lineRule="auto"/>
              <w:jc w:val="center"/>
            </w:pPr>
            <w:r>
              <w:rPr>
                <w:b/>
                <w:sz w:val="18"/>
              </w:rPr>
              <w:t>Indeks (%)</w:t>
            </w:r>
          </w:p>
        </w:tc>
      </w:tr>
      <w:tr w:rsidR="00807083" w14:paraId="4F3D8B66" w14:textId="77777777">
        <w:tblPrEx>
          <w:tblCellMar>
            <w:top w:w="0" w:type="dxa"/>
            <w:bottom w:w="0" w:type="dxa"/>
          </w:tblCellMar>
        </w:tblPrEx>
        <w:trPr>
          <w:cantSplit/>
          <w:trHeight w:val="560"/>
        </w:trPr>
        <w:tc>
          <w:tcPr>
            <w:tcW w:w="700" w:type="dxa"/>
            <w:tcMar>
              <w:top w:w="0" w:type="dxa"/>
              <w:bottom w:w="0" w:type="dxa"/>
            </w:tcMar>
            <w:vAlign w:val="center"/>
          </w:tcPr>
          <w:p w14:paraId="6A353E6C" w14:textId="77777777" w:rsidR="00807083" w:rsidRDefault="00807083">
            <w:pPr>
              <w:keepNext/>
              <w:keepLines/>
              <w:spacing w:after="0" w:line="240" w:lineRule="auto"/>
            </w:pPr>
          </w:p>
        </w:tc>
        <w:tc>
          <w:tcPr>
            <w:tcW w:w="3180" w:type="dxa"/>
            <w:tcMar>
              <w:top w:w="0" w:type="dxa"/>
              <w:bottom w:w="0" w:type="dxa"/>
            </w:tcMar>
            <w:vAlign w:val="center"/>
          </w:tcPr>
          <w:p w14:paraId="17A8A40E" w14:textId="77777777" w:rsidR="00807083" w:rsidRDefault="008A23A1">
            <w:pPr>
              <w:keepNext/>
              <w:keepLines/>
              <w:spacing w:after="0" w:line="240" w:lineRule="auto"/>
            </w:pPr>
            <w:r>
              <w:rPr>
                <w:sz w:val="18"/>
              </w:rPr>
              <w:t>IMOVINA (šifre B002+1)</w:t>
            </w:r>
          </w:p>
        </w:tc>
        <w:tc>
          <w:tcPr>
            <w:tcW w:w="700" w:type="dxa"/>
            <w:tcMar>
              <w:top w:w="0" w:type="dxa"/>
              <w:bottom w:w="0" w:type="dxa"/>
            </w:tcMar>
            <w:vAlign w:val="center"/>
          </w:tcPr>
          <w:p w14:paraId="3BAA795D" w14:textId="77777777" w:rsidR="00807083" w:rsidRDefault="008A23A1">
            <w:pPr>
              <w:keepNext/>
              <w:keepLines/>
              <w:spacing w:after="0" w:line="240" w:lineRule="auto"/>
            </w:pPr>
            <w:r>
              <w:rPr>
                <w:sz w:val="18"/>
              </w:rPr>
              <w:t>B001</w:t>
            </w:r>
          </w:p>
        </w:tc>
        <w:tc>
          <w:tcPr>
            <w:tcW w:w="1860" w:type="dxa"/>
            <w:tcMar>
              <w:top w:w="0" w:type="dxa"/>
              <w:bottom w:w="0" w:type="dxa"/>
            </w:tcMar>
            <w:vAlign w:val="center"/>
          </w:tcPr>
          <w:p w14:paraId="15FEBB2E" w14:textId="77777777" w:rsidR="00807083" w:rsidRDefault="008A23A1">
            <w:pPr>
              <w:keepNext/>
              <w:keepLines/>
              <w:spacing w:after="0" w:line="240" w:lineRule="auto"/>
              <w:jc w:val="right"/>
            </w:pPr>
            <w:r>
              <w:rPr>
                <w:sz w:val="18"/>
              </w:rPr>
              <w:t>44.040.391,76</w:t>
            </w:r>
          </w:p>
        </w:tc>
        <w:tc>
          <w:tcPr>
            <w:tcW w:w="1860" w:type="dxa"/>
            <w:tcMar>
              <w:top w:w="0" w:type="dxa"/>
              <w:bottom w:w="0" w:type="dxa"/>
            </w:tcMar>
            <w:vAlign w:val="center"/>
          </w:tcPr>
          <w:p w14:paraId="685F97BE" w14:textId="77777777" w:rsidR="00807083" w:rsidRDefault="008A23A1">
            <w:pPr>
              <w:keepNext/>
              <w:keepLines/>
              <w:spacing w:after="0" w:line="240" w:lineRule="auto"/>
              <w:jc w:val="right"/>
            </w:pPr>
            <w:r>
              <w:rPr>
                <w:sz w:val="18"/>
              </w:rPr>
              <w:t>43.306.854,95</w:t>
            </w:r>
          </w:p>
        </w:tc>
        <w:tc>
          <w:tcPr>
            <w:tcW w:w="700" w:type="dxa"/>
            <w:tcMar>
              <w:top w:w="0" w:type="dxa"/>
              <w:bottom w:w="0" w:type="dxa"/>
            </w:tcMar>
            <w:vAlign w:val="center"/>
          </w:tcPr>
          <w:p w14:paraId="364D5187" w14:textId="77777777" w:rsidR="00807083" w:rsidRDefault="008A23A1">
            <w:pPr>
              <w:keepNext/>
              <w:keepLines/>
              <w:spacing w:after="0" w:line="240" w:lineRule="auto"/>
              <w:jc w:val="right"/>
            </w:pPr>
            <w:r>
              <w:rPr>
                <w:sz w:val="18"/>
              </w:rPr>
              <w:t>98,3</w:t>
            </w:r>
          </w:p>
        </w:tc>
      </w:tr>
    </w:tbl>
    <w:p w14:paraId="07199C5A" w14:textId="77777777" w:rsidR="00807083" w:rsidRDefault="00807083">
      <w:pPr>
        <w:spacing w:after="0"/>
      </w:pPr>
    </w:p>
    <w:p w14:paraId="7C8FE96E" w14:textId="77777777" w:rsidR="00807083" w:rsidRDefault="008A23A1">
      <w:r>
        <w:t>Nefinancijska imovina bilježi porast na pozicijama uredske opreme i namještaja te komunikacijske opreme, a kao rezultat provedbe aktivnosti projekta „Digitalna preobrazba visokog obrazovanja – e-Sveučilišta“.</w:t>
      </w:r>
    </w:p>
    <w:p w14:paraId="37FB1EC4" w14:textId="77777777" w:rsidR="00807083" w:rsidRDefault="008A23A1">
      <w:r>
        <w:t>Također je zabilježen porast na poziciji ulaganja u računalne programe, koji proizlazi iz provedbe aktivnosti projekata „Digitalna preobrazba visokog obrazovanja – e-Sveučilišta“, „Cjelovita informatizacija sustava odgoja i obrazovanja (CISOO)” te „Unaprjeđenje primjene digitalne tehnologije u obrazovnom sustavu – BrAIn“.</w:t>
      </w:r>
    </w:p>
    <w:p w14:paraId="37D81E25" w14:textId="77777777" w:rsidR="00807083" w:rsidRDefault="00807083"/>
    <w:p w14:paraId="79093C37" w14:textId="77777777" w:rsidR="00807083" w:rsidRDefault="008A23A1">
      <w:pPr>
        <w:keepNext/>
        <w:spacing w:line="240" w:lineRule="auto"/>
        <w:jc w:val="center"/>
      </w:pPr>
      <w:r>
        <w:rPr>
          <w:sz w:val="28"/>
        </w:rPr>
        <w:t>Bilješka 23.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31A6E70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25814D2"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823AC75"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B9BDB32"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534ED13"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4A77B88F"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DF02ACD" w14:textId="77777777" w:rsidR="00807083" w:rsidRDefault="008A23A1">
            <w:pPr>
              <w:keepNext/>
              <w:keepLines/>
              <w:spacing w:after="0" w:line="240" w:lineRule="auto"/>
              <w:jc w:val="center"/>
            </w:pPr>
            <w:r>
              <w:rPr>
                <w:b/>
                <w:sz w:val="18"/>
              </w:rPr>
              <w:t>Indeks (%)</w:t>
            </w:r>
          </w:p>
        </w:tc>
      </w:tr>
      <w:tr w:rsidR="00807083" w14:paraId="288AC6C5" w14:textId="77777777">
        <w:tblPrEx>
          <w:tblCellMar>
            <w:top w:w="0" w:type="dxa"/>
            <w:bottom w:w="0" w:type="dxa"/>
          </w:tblCellMar>
        </w:tblPrEx>
        <w:trPr>
          <w:cantSplit/>
          <w:trHeight w:val="560"/>
        </w:trPr>
        <w:tc>
          <w:tcPr>
            <w:tcW w:w="700" w:type="dxa"/>
            <w:tcMar>
              <w:top w:w="0" w:type="dxa"/>
              <w:bottom w:w="0" w:type="dxa"/>
            </w:tcMar>
            <w:vAlign w:val="center"/>
          </w:tcPr>
          <w:p w14:paraId="6AFA727A" w14:textId="77777777" w:rsidR="00807083" w:rsidRDefault="008A23A1">
            <w:pPr>
              <w:keepNext/>
              <w:keepLines/>
              <w:spacing w:after="0" w:line="240" w:lineRule="auto"/>
            </w:pPr>
            <w:r>
              <w:rPr>
                <w:sz w:val="18"/>
              </w:rPr>
              <w:t>02</w:t>
            </w:r>
          </w:p>
        </w:tc>
        <w:tc>
          <w:tcPr>
            <w:tcW w:w="3180" w:type="dxa"/>
            <w:tcMar>
              <w:top w:w="0" w:type="dxa"/>
              <w:bottom w:w="0" w:type="dxa"/>
            </w:tcMar>
            <w:vAlign w:val="center"/>
          </w:tcPr>
          <w:p w14:paraId="2506983A" w14:textId="77777777" w:rsidR="00807083" w:rsidRDefault="008A23A1">
            <w:pPr>
              <w:keepNext/>
              <w:keepLines/>
              <w:spacing w:after="0" w:line="240" w:lineRule="auto"/>
            </w:pPr>
            <w:r>
              <w:rPr>
                <w:sz w:val="18"/>
              </w:rPr>
              <w:t>Proizvedena dugotrajna imovina (šifre '021 i 02921' + '022 i 02922' + '023 i 02923' + '024 i 02924' + '025 i 02925' + '026 i 02926')</w:t>
            </w:r>
          </w:p>
        </w:tc>
        <w:tc>
          <w:tcPr>
            <w:tcW w:w="700" w:type="dxa"/>
            <w:tcMar>
              <w:top w:w="0" w:type="dxa"/>
              <w:bottom w:w="0" w:type="dxa"/>
            </w:tcMar>
            <w:vAlign w:val="center"/>
          </w:tcPr>
          <w:p w14:paraId="090A9DC0" w14:textId="77777777" w:rsidR="00807083" w:rsidRDefault="008A23A1">
            <w:pPr>
              <w:keepNext/>
              <w:keepLines/>
              <w:spacing w:after="0" w:line="240" w:lineRule="auto"/>
            </w:pPr>
            <w:r>
              <w:rPr>
                <w:sz w:val="18"/>
              </w:rPr>
              <w:t>02</w:t>
            </w:r>
          </w:p>
        </w:tc>
        <w:tc>
          <w:tcPr>
            <w:tcW w:w="1860" w:type="dxa"/>
            <w:tcMar>
              <w:top w:w="0" w:type="dxa"/>
              <w:bottom w:w="0" w:type="dxa"/>
            </w:tcMar>
            <w:vAlign w:val="center"/>
          </w:tcPr>
          <w:p w14:paraId="77527675" w14:textId="77777777" w:rsidR="00807083" w:rsidRDefault="008A23A1">
            <w:pPr>
              <w:keepNext/>
              <w:keepLines/>
              <w:spacing w:after="0" w:line="240" w:lineRule="auto"/>
              <w:jc w:val="right"/>
            </w:pPr>
            <w:r>
              <w:rPr>
                <w:sz w:val="18"/>
              </w:rPr>
              <w:t>18.232.950,01</w:t>
            </w:r>
          </w:p>
        </w:tc>
        <w:tc>
          <w:tcPr>
            <w:tcW w:w="1860" w:type="dxa"/>
            <w:tcMar>
              <w:top w:w="0" w:type="dxa"/>
              <w:bottom w:w="0" w:type="dxa"/>
            </w:tcMar>
            <w:vAlign w:val="center"/>
          </w:tcPr>
          <w:p w14:paraId="3197710C" w14:textId="77777777" w:rsidR="00807083" w:rsidRDefault="008A23A1">
            <w:pPr>
              <w:keepNext/>
              <w:keepLines/>
              <w:spacing w:after="0" w:line="240" w:lineRule="auto"/>
              <w:jc w:val="right"/>
            </w:pPr>
            <w:r>
              <w:rPr>
                <w:sz w:val="18"/>
              </w:rPr>
              <w:t>17.747.200,59</w:t>
            </w:r>
          </w:p>
        </w:tc>
        <w:tc>
          <w:tcPr>
            <w:tcW w:w="700" w:type="dxa"/>
            <w:tcMar>
              <w:top w:w="0" w:type="dxa"/>
              <w:bottom w:w="0" w:type="dxa"/>
            </w:tcMar>
            <w:vAlign w:val="center"/>
          </w:tcPr>
          <w:p w14:paraId="19D8ADA8" w14:textId="77777777" w:rsidR="00807083" w:rsidRDefault="008A23A1">
            <w:pPr>
              <w:keepNext/>
              <w:keepLines/>
              <w:spacing w:after="0" w:line="240" w:lineRule="auto"/>
              <w:jc w:val="right"/>
            </w:pPr>
            <w:r>
              <w:rPr>
                <w:sz w:val="18"/>
              </w:rPr>
              <w:t>97,3</w:t>
            </w:r>
          </w:p>
        </w:tc>
      </w:tr>
    </w:tbl>
    <w:p w14:paraId="6EF84B01" w14:textId="77777777" w:rsidR="00807083" w:rsidRDefault="00807083">
      <w:pPr>
        <w:spacing w:after="0"/>
      </w:pPr>
    </w:p>
    <w:p w14:paraId="46626497" w14:textId="77777777" w:rsidR="00807083" w:rsidRDefault="008A23A1">
      <w:r>
        <w:t>Do povećanja na poziciji 022, odnosno na pozicijama 0221, 0222 i 0262, došlo je uslijed provedbe aktivnosti u okviru projekata „Digitalna preobrazba visokog obrazovanja – e-Sveučilišta“, „Cjelovita informatizacija sustava odgoja i obrazovanja (CISOO)” te „Unaprjeđenje primjene digitalne tehnologije u obrazovnom sustavu – BrAIn“.</w:t>
      </w:r>
    </w:p>
    <w:p w14:paraId="47B9DF2E" w14:textId="77777777" w:rsidR="00807083" w:rsidRDefault="00807083"/>
    <w:p w14:paraId="40B3B7E2" w14:textId="77777777" w:rsidR="00807083" w:rsidRDefault="008A23A1">
      <w:pPr>
        <w:keepNext/>
        <w:spacing w:line="240" w:lineRule="auto"/>
        <w:jc w:val="center"/>
      </w:pPr>
      <w:r>
        <w:rPr>
          <w:sz w:val="28"/>
        </w:rPr>
        <w:t>Bilješka 24.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30C2366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9A24094"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09441AF"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2A8C134"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F08874A"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253AD97C"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5DB62BFB" w14:textId="77777777" w:rsidR="00807083" w:rsidRDefault="008A23A1">
            <w:pPr>
              <w:keepNext/>
              <w:keepLines/>
              <w:spacing w:after="0" w:line="240" w:lineRule="auto"/>
              <w:jc w:val="center"/>
            </w:pPr>
            <w:r>
              <w:rPr>
                <w:b/>
                <w:sz w:val="18"/>
              </w:rPr>
              <w:t>Indeks (%)</w:t>
            </w:r>
          </w:p>
        </w:tc>
      </w:tr>
      <w:tr w:rsidR="00807083" w14:paraId="50620E92" w14:textId="77777777">
        <w:tblPrEx>
          <w:tblCellMar>
            <w:top w:w="0" w:type="dxa"/>
            <w:bottom w:w="0" w:type="dxa"/>
          </w:tblCellMar>
        </w:tblPrEx>
        <w:trPr>
          <w:cantSplit/>
          <w:trHeight w:val="560"/>
        </w:trPr>
        <w:tc>
          <w:tcPr>
            <w:tcW w:w="700" w:type="dxa"/>
            <w:tcMar>
              <w:top w:w="0" w:type="dxa"/>
              <w:bottom w:w="0" w:type="dxa"/>
            </w:tcMar>
            <w:vAlign w:val="center"/>
          </w:tcPr>
          <w:p w14:paraId="25AD7DFC" w14:textId="77777777" w:rsidR="00807083" w:rsidRDefault="008A23A1">
            <w:pPr>
              <w:keepNext/>
              <w:keepLines/>
              <w:spacing w:after="0" w:line="240" w:lineRule="auto"/>
            </w:pPr>
            <w:r>
              <w:rPr>
                <w:sz w:val="18"/>
              </w:rPr>
              <w:t>11</w:t>
            </w:r>
          </w:p>
        </w:tc>
        <w:tc>
          <w:tcPr>
            <w:tcW w:w="3180" w:type="dxa"/>
            <w:tcMar>
              <w:top w:w="0" w:type="dxa"/>
              <w:bottom w:w="0" w:type="dxa"/>
            </w:tcMar>
            <w:vAlign w:val="center"/>
          </w:tcPr>
          <w:p w14:paraId="0BC6F65B" w14:textId="77777777" w:rsidR="00807083" w:rsidRDefault="008A23A1">
            <w:pPr>
              <w:keepNext/>
              <w:keepLines/>
              <w:spacing w:after="0" w:line="240" w:lineRule="auto"/>
            </w:pPr>
            <w:r>
              <w:rPr>
                <w:sz w:val="18"/>
              </w:rPr>
              <w:t>Novac u banci i blagajni (šifre 111+112 do 114)</w:t>
            </w:r>
          </w:p>
        </w:tc>
        <w:tc>
          <w:tcPr>
            <w:tcW w:w="700" w:type="dxa"/>
            <w:tcMar>
              <w:top w:w="0" w:type="dxa"/>
              <w:bottom w:w="0" w:type="dxa"/>
            </w:tcMar>
            <w:vAlign w:val="center"/>
          </w:tcPr>
          <w:p w14:paraId="6AE5B14F" w14:textId="77777777" w:rsidR="00807083" w:rsidRDefault="008A23A1">
            <w:pPr>
              <w:keepNext/>
              <w:keepLines/>
              <w:spacing w:after="0" w:line="240" w:lineRule="auto"/>
            </w:pPr>
            <w:r>
              <w:rPr>
                <w:sz w:val="18"/>
              </w:rPr>
              <w:t>11</w:t>
            </w:r>
          </w:p>
        </w:tc>
        <w:tc>
          <w:tcPr>
            <w:tcW w:w="1860" w:type="dxa"/>
            <w:tcMar>
              <w:top w:w="0" w:type="dxa"/>
              <w:bottom w:w="0" w:type="dxa"/>
            </w:tcMar>
            <w:vAlign w:val="center"/>
          </w:tcPr>
          <w:p w14:paraId="08D02302" w14:textId="77777777" w:rsidR="00807083" w:rsidRDefault="008A23A1">
            <w:pPr>
              <w:keepNext/>
              <w:keepLines/>
              <w:spacing w:after="0" w:line="240" w:lineRule="auto"/>
              <w:jc w:val="right"/>
            </w:pPr>
            <w:r>
              <w:rPr>
                <w:sz w:val="18"/>
              </w:rPr>
              <w:t>357.033,81</w:t>
            </w:r>
          </w:p>
        </w:tc>
        <w:tc>
          <w:tcPr>
            <w:tcW w:w="1860" w:type="dxa"/>
            <w:tcMar>
              <w:top w:w="0" w:type="dxa"/>
              <w:bottom w:w="0" w:type="dxa"/>
            </w:tcMar>
            <w:vAlign w:val="center"/>
          </w:tcPr>
          <w:p w14:paraId="33DBA838" w14:textId="77777777" w:rsidR="00807083" w:rsidRDefault="008A23A1">
            <w:pPr>
              <w:keepNext/>
              <w:keepLines/>
              <w:spacing w:after="0" w:line="240" w:lineRule="auto"/>
              <w:jc w:val="right"/>
            </w:pPr>
            <w:r>
              <w:rPr>
                <w:sz w:val="18"/>
              </w:rPr>
              <w:t>584.075,89</w:t>
            </w:r>
          </w:p>
        </w:tc>
        <w:tc>
          <w:tcPr>
            <w:tcW w:w="700" w:type="dxa"/>
            <w:tcMar>
              <w:top w:w="0" w:type="dxa"/>
              <w:bottom w:w="0" w:type="dxa"/>
            </w:tcMar>
            <w:vAlign w:val="center"/>
          </w:tcPr>
          <w:p w14:paraId="0CD1316E" w14:textId="77777777" w:rsidR="00807083" w:rsidRDefault="008A23A1">
            <w:pPr>
              <w:keepNext/>
              <w:keepLines/>
              <w:spacing w:after="0" w:line="240" w:lineRule="auto"/>
              <w:jc w:val="right"/>
            </w:pPr>
            <w:r>
              <w:rPr>
                <w:sz w:val="18"/>
              </w:rPr>
              <w:t>163,6</w:t>
            </w:r>
          </w:p>
        </w:tc>
      </w:tr>
    </w:tbl>
    <w:p w14:paraId="5CD5C710" w14:textId="77777777" w:rsidR="00807083" w:rsidRDefault="00807083">
      <w:pPr>
        <w:spacing w:after="0"/>
      </w:pPr>
    </w:p>
    <w:p w14:paraId="10428A5B" w14:textId="77777777" w:rsidR="00807083" w:rsidRDefault="008A23A1">
      <w:r>
        <w:t>Pozicija novac u banci iznosi 584.075,89 EUR, i odnosi se na novac na računu kod tuzemnih poslovnih banaka i predstavlja novčana sredstva za projekte (Geant, Scientix) na žiro-računu od posebne namjene u Zagrebačkoj banci uz suglasnost Ministarstva financija (stanja žiro-računa prate se u Državnoj riznici i prikazuju se priljevi i odljevi te unose nalozi). </w:t>
      </w:r>
    </w:p>
    <w:p w14:paraId="63C27ADB" w14:textId="77777777" w:rsidR="00807083" w:rsidRDefault="00807083"/>
    <w:p w14:paraId="36F00D6F" w14:textId="77777777" w:rsidR="00807083" w:rsidRDefault="008A23A1">
      <w:pPr>
        <w:keepNext/>
        <w:spacing w:line="240" w:lineRule="auto"/>
        <w:jc w:val="center"/>
      </w:pPr>
      <w:r>
        <w:rPr>
          <w:sz w:val="28"/>
        </w:rPr>
        <w:lastRenderedPageBreak/>
        <w:t>Bilješka 25.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32ECFE5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240280D"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24D548F"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BB1E9FC"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36A41F1"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1E70626A"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587C4842" w14:textId="77777777" w:rsidR="00807083" w:rsidRDefault="008A23A1">
            <w:pPr>
              <w:keepNext/>
              <w:keepLines/>
              <w:spacing w:after="0" w:line="240" w:lineRule="auto"/>
              <w:jc w:val="center"/>
            </w:pPr>
            <w:r>
              <w:rPr>
                <w:b/>
                <w:sz w:val="18"/>
              </w:rPr>
              <w:t>Indeks (%)</w:t>
            </w:r>
          </w:p>
        </w:tc>
      </w:tr>
      <w:tr w:rsidR="00807083" w14:paraId="64D06867" w14:textId="77777777">
        <w:tblPrEx>
          <w:tblCellMar>
            <w:top w:w="0" w:type="dxa"/>
            <w:bottom w:w="0" w:type="dxa"/>
          </w:tblCellMar>
        </w:tblPrEx>
        <w:trPr>
          <w:cantSplit/>
          <w:trHeight w:val="560"/>
        </w:trPr>
        <w:tc>
          <w:tcPr>
            <w:tcW w:w="700" w:type="dxa"/>
            <w:tcMar>
              <w:top w:w="0" w:type="dxa"/>
              <w:bottom w:w="0" w:type="dxa"/>
            </w:tcMar>
            <w:vAlign w:val="center"/>
          </w:tcPr>
          <w:p w14:paraId="48E54A4F" w14:textId="77777777" w:rsidR="00807083" w:rsidRDefault="008A23A1">
            <w:pPr>
              <w:keepNext/>
              <w:keepLines/>
              <w:spacing w:after="0" w:line="240" w:lineRule="auto"/>
            </w:pPr>
            <w:r>
              <w:rPr>
                <w:sz w:val="18"/>
              </w:rPr>
              <w:t>167</w:t>
            </w:r>
          </w:p>
        </w:tc>
        <w:tc>
          <w:tcPr>
            <w:tcW w:w="3180" w:type="dxa"/>
            <w:tcMar>
              <w:top w:w="0" w:type="dxa"/>
              <w:bottom w:w="0" w:type="dxa"/>
            </w:tcMar>
            <w:vAlign w:val="center"/>
          </w:tcPr>
          <w:p w14:paraId="1F608D38" w14:textId="77777777" w:rsidR="00807083" w:rsidRDefault="008A23A1">
            <w:pPr>
              <w:keepNext/>
              <w:keepLines/>
              <w:spacing w:after="0" w:line="240" w:lineRule="auto"/>
            </w:pPr>
            <w:r>
              <w:rPr>
                <w:sz w:val="18"/>
              </w:rPr>
              <w:t>Potraživanja proračunskih korisnika za sredstva uplaćena u nadležni proračun i za prihode od HZZO-a na temelju ugovornih obveza</w:t>
            </w:r>
          </w:p>
        </w:tc>
        <w:tc>
          <w:tcPr>
            <w:tcW w:w="700" w:type="dxa"/>
            <w:tcMar>
              <w:top w:w="0" w:type="dxa"/>
              <w:bottom w:w="0" w:type="dxa"/>
            </w:tcMar>
            <w:vAlign w:val="center"/>
          </w:tcPr>
          <w:p w14:paraId="561672FC" w14:textId="77777777" w:rsidR="00807083" w:rsidRDefault="008A23A1">
            <w:pPr>
              <w:keepNext/>
              <w:keepLines/>
              <w:spacing w:after="0" w:line="240" w:lineRule="auto"/>
            </w:pPr>
            <w:r>
              <w:rPr>
                <w:sz w:val="18"/>
              </w:rPr>
              <w:t>167</w:t>
            </w:r>
          </w:p>
        </w:tc>
        <w:tc>
          <w:tcPr>
            <w:tcW w:w="1860" w:type="dxa"/>
            <w:tcMar>
              <w:top w:w="0" w:type="dxa"/>
              <w:bottom w:w="0" w:type="dxa"/>
            </w:tcMar>
            <w:vAlign w:val="center"/>
          </w:tcPr>
          <w:p w14:paraId="36461EFD" w14:textId="77777777" w:rsidR="00807083" w:rsidRDefault="008A23A1">
            <w:pPr>
              <w:keepNext/>
              <w:keepLines/>
              <w:spacing w:after="0" w:line="240" w:lineRule="auto"/>
              <w:jc w:val="right"/>
            </w:pPr>
            <w:r>
              <w:rPr>
                <w:sz w:val="18"/>
              </w:rPr>
              <w:t>5.755.895,82</w:t>
            </w:r>
          </w:p>
        </w:tc>
        <w:tc>
          <w:tcPr>
            <w:tcW w:w="1860" w:type="dxa"/>
            <w:tcMar>
              <w:top w:w="0" w:type="dxa"/>
              <w:bottom w:w="0" w:type="dxa"/>
            </w:tcMar>
            <w:vAlign w:val="center"/>
          </w:tcPr>
          <w:p w14:paraId="3B1FA9E6" w14:textId="77777777" w:rsidR="00807083" w:rsidRDefault="008A23A1">
            <w:pPr>
              <w:keepNext/>
              <w:keepLines/>
              <w:spacing w:after="0" w:line="240" w:lineRule="auto"/>
              <w:jc w:val="right"/>
            </w:pPr>
            <w:r>
              <w:rPr>
                <w:sz w:val="18"/>
              </w:rPr>
              <w:t>5.657.793,61</w:t>
            </w:r>
          </w:p>
        </w:tc>
        <w:tc>
          <w:tcPr>
            <w:tcW w:w="700" w:type="dxa"/>
            <w:tcMar>
              <w:top w:w="0" w:type="dxa"/>
              <w:bottom w:w="0" w:type="dxa"/>
            </w:tcMar>
            <w:vAlign w:val="center"/>
          </w:tcPr>
          <w:p w14:paraId="48C5BC2A" w14:textId="77777777" w:rsidR="00807083" w:rsidRDefault="008A23A1">
            <w:pPr>
              <w:keepNext/>
              <w:keepLines/>
              <w:spacing w:after="0" w:line="240" w:lineRule="auto"/>
              <w:jc w:val="right"/>
            </w:pPr>
            <w:r>
              <w:rPr>
                <w:sz w:val="18"/>
              </w:rPr>
              <w:t>98,3</w:t>
            </w:r>
          </w:p>
        </w:tc>
      </w:tr>
    </w:tbl>
    <w:p w14:paraId="2A422CC2" w14:textId="77777777" w:rsidR="00807083" w:rsidRDefault="00807083">
      <w:pPr>
        <w:spacing w:after="0"/>
      </w:pPr>
    </w:p>
    <w:p w14:paraId="47BBD330" w14:textId="77777777" w:rsidR="00807083" w:rsidRDefault="008A23A1">
      <w:r>
        <w:t>Pozicija potraživanja za prihode poslovanja u 2025. godini iznosi 5.814.091,93 EUR te se najvećim dijelom odnosi na uplate sredstava za projekte iz prethodnih godina.</w:t>
      </w:r>
    </w:p>
    <w:p w14:paraId="0BA1A192" w14:textId="77777777" w:rsidR="00807083" w:rsidRDefault="008A23A1">
      <w:r>
        <w:t>Riječ je prvenstveno o projektima NKS – Uspostava nacionalnog koordinacijskog središta za industriju, tehnologiju i istraživanja u području kibernetičke sigurnosti te CroQCI – Hrvatska kvantna komunikacijska infrastruktura, za koje su sredstva uplaćena u ranijim razdobljima.</w:t>
      </w:r>
    </w:p>
    <w:p w14:paraId="52C01C4E" w14:textId="77777777" w:rsidR="00807083" w:rsidRDefault="00807083"/>
    <w:p w14:paraId="2F0AB401" w14:textId="77777777" w:rsidR="00807083" w:rsidRDefault="008A23A1">
      <w:pPr>
        <w:keepNext/>
        <w:spacing w:line="240" w:lineRule="auto"/>
        <w:jc w:val="center"/>
      </w:pPr>
      <w:r>
        <w:rPr>
          <w:sz w:val="28"/>
        </w:rPr>
        <w:t>Bilješka 26.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558133D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8A851C5"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C55D060"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327DC9A"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B46BED0"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412F440"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76311F0D" w14:textId="77777777" w:rsidR="00807083" w:rsidRDefault="008A23A1">
            <w:pPr>
              <w:keepNext/>
              <w:keepLines/>
              <w:spacing w:after="0" w:line="240" w:lineRule="auto"/>
              <w:jc w:val="center"/>
            </w:pPr>
            <w:r>
              <w:rPr>
                <w:b/>
                <w:sz w:val="18"/>
              </w:rPr>
              <w:t>Indeks (%)</w:t>
            </w:r>
          </w:p>
        </w:tc>
      </w:tr>
      <w:tr w:rsidR="00807083" w14:paraId="6E0B9327" w14:textId="77777777">
        <w:tblPrEx>
          <w:tblCellMar>
            <w:top w:w="0" w:type="dxa"/>
            <w:bottom w:w="0" w:type="dxa"/>
          </w:tblCellMar>
        </w:tblPrEx>
        <w:trPr>
          <w:cantSplit/>
          <w:trHeight w:val="560"/>
        </w:trPr>
        <w:tc>
          <w:tcPr>
            <w:tcW w:w="700" w:type="dxa"/>
            <w:tcMar>
              <w:top w:w="0" w:type="dxa"/>
              <w:bottom w:w="0" w:type="dxa"/>
            </w:tcMar>
            <w:vAlign w:val="center"/>
          </w:tcPr>
          <w:p w14:paraId="58AE1A77" w14:textId="77777777" w:rsidR="00807083" w:rsidRDefault="008A23A1">
            <w:pPr>
              <w:keepNext/>
              <w:keepLines/>
              <w:spacing w:after="0" w:line="240" w:lineRule="auto"/>
            </w:pPr>
            <w:r>
              <w:rPr>
                <w:sz w:val="18"/>
              </w:rPr>
              <w:t>232</w:t>
            </w:r>
          </w:p>
        </w:tc>
        <w:tc>
          <w:tcPr>
            <w:tcW w:w="3180" w:type="dxa"/>
            <w:tcMar>
              <w:top w:w="0" w:type="dxa"/>
              <w:bottom w:w="0" w:type="dxa"/>
            </w:tcMar>
            <w:vAlign w:val="center"/>
          </w:tcPr>
          <w:p w14:paraId="2A3A27E4" w14:textId="77777777" w:rsidR="00807083" w:rsidRDefault="008A23A1">
            <w:pPr>
              <w:keepNext/>
              <w:keepLines/>
              <w:spacing w:after="0" w:line="240" w:lineRule="auto"/>
            </w:pPr>
            <w:r>
              <w:rPr>
                <w:sz w:val="18"/>
              </w:rPr>
              <w:t>Obveze za materijalne rashode</w:t>
            </w:r>
          </w:p>
        </w:tc>
        <w:tc>
          <w:tcPr>
            <w:tcW w:w="700" w:type="dxa"/>
            <w:tcMar>
              <w:top w:w="0" w:type="dxa"/>
              <w:bottom w:w="0" w:type="dxa"/>
            </w:tcMar>
            <w:vAlign w:val="center"/>
          </w:tcPr>
          <w:p w14:paraId="14191572" w14:textId="77777777" w:rsidR="00807083" w:rsidRDefault="008A23A1">
            <w:pPr>
              <w:keepNext/>
              <w:keepLines/>
              <w:spacing w:after="0" w:line="240" w:lineRule="auto"/>
            </w:pPr>
            <w:r>
              <w:rPr>
                <w:sz w:val="18"/>
              </w:rPr>
              <w:t>232</w:t>
            </w:r>
          </w:p>
        </w:tc>
        <w:tc>
          <w:tcPr>
            <w:tcW w:w="1860" w:type="dxa"/>
            <w:tcMar>
              <w:top w:w="0" w:type="dxa"/>
              <w:bottom w:w="0" w:type="dxa"/>
            </w:tcMar>
            <w:vAlign w:val="center"/>
          </w:tcPr>
          <w:p w14:paraId="2158720F" w14:textId="77777777" w:rsidR="00807083" w:rsidRDefault="008A23A1">
            <w:pPr>
              <w:keepNext/>
              <w:keepLines/>
              <w:spacing w:after="0" w:line="240" w:lineRule="auto"/>
              <w:jc w:val="right"/>
            </w:pPr>
            <w:r>
              <w:rPr>
                <w:sz w:val="18"/>
              </w:rPr>
              <w:t>859.821,02</w:t>
            </w:r>
          </w:p>
        </w:tc>
        <w:tc>
          <w:tcPr>
            <w:tcW w:w="1860" w:type="dxa"/>
            <w:tcMar>
              <w:top w:w="0" w:type="dxa"/>
              <w:bottom w:w="0" w:type="dxa"/>
            </w:tcMar>
            <w:vAlign w:val="center"/>
          </w:tcPr>
          <w:p w14:paraId="591C7367" w14:textId="77777777" w:rsidR="00807083" w:rsidRDefault="008A23A1">
            <w:pPr>
              <w:keepNext/>
              <w:keepLines/>
              <w:spacing w:after="0" w:line="240" w:lineRule="auto"/>
              <w:jc w:val="right"/>
            </w:pPr>
            <w:r>
              <w:rPr>
                <w:sz w:val="18"/>
              </w:rPr>
              <w:t>2.750.884,25</w:t>
            </w:r>
          </w:p>
        </w:tc>
        <w:tc>
          <w:tcPr>
            <w:tcW w:w="700" w:type="dxa"/>
            <w:tcMar>
              <w:top w:w="0" w:type="dxa"/>
              <w:bottom w:w="0" w:type="dxa"/>
            </w:tcMar>
            <w:vAlign w:val="center"/>
          </w:tcPr>
          <w:p w14:paraId="33841AF9" w14:textId="77777777" w:rsidR="00807083" w:rsidRDefault="008A23A1">
            <w:pPr>
              <w:keepNext/>
              <w:keepLines/>
              <w:spacing w:after="0" w:line="240" w:lineRule="auto"/>
              <w:jc w:val="right"/>
            </w:pPr>
            <w:r>
              <w:rPr>
                <w:sz w:val="18"/>
              </w:rPr>
              <w:t>319,9</w:t>
            </w:r>
          </w:p>
        </w:tc>
      </w:tr>
    </w:tbl>
    <w:p w14:paraId="4D19310F" w14:textId="77777777" w:rsidR="00807083" w:rsidRDefault="00807083">
      <w:pPr>
        <w:spacing w:after="0"/>
      </w:pPr>
    </w:p>
    <w:p w14:paraId="5A7BE9E2" w14:textId="77777777" w:rsidR="00807083" w:rsidRDefault="008A23A1">
      <w:r>
        <w:t>Povećanje je evidentirano na poziciji Obveze za materijalne rashode (šifra 232), a proizlazi iz provođenja aktivnosti izgradnje pasivne mreže te implementacije aktivne mrežne i pristupne opreme u ustanovama u okviru projekta „Digitalna preobrazba visokog obrazovanja – e-Sveučilišta“ </w:t>
      </w:r>
    </w:p>
    <w:p w14:paraId="5EC87058" w14:textId="77777777" w:rsidR="00807083" w:rsidRDefault="00807083"/>
    <w:p w14:paraId="4A8AD9BA" w14:textId="77777777" w:rsidR="00807083" w:rsidRDefault="008A23A1">
      <w:pPr>
        <w:keepNext/>
        <w:spacing w:line="240" w:lineRule="auto"/>
        <w:jc w:val="center"/>
      </w:pPr>
      <w:r>
        <w:rPr>
          <w:sz w:val="28"/>
        </w:rPr>
        <w:t>Bilješka 27.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4749265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BCF94C7"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58B78D2"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2A70B07"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D5EAD09"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14211388"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53F70A0B" w14:textId="77777777" w:rsidR="00807083" w:rsidRDefault="008A23A1">
            <w:pPr>
              <w:keepNext/>
              <w:keepLines/>
              <w:spacing w:after="0" w:line="240" w:lineRule="auto"/>
              <w:jc w:val="center"/>
            </w:pPr>
            <w:r>
              <w:rPr>
                <w:b/>
                <w:sz w:val="18"/>
              </w:rPr>
              <w:t>Indeks (%)</w:t>
            </w:r>
          </w:p>
        </w:tc>
      </w:tr>
      <w:tr w:rsidR="00807083" w14:paraId="0D0D9C5A" w14:textId="77777777">
        <w:tblPrEx>
          <w:tblCellMar>
            <w:top w:w="0" w:type="dxa"/>
            <w:bottom w:w="0" w:type="dxa"/>
          </w:tblCellMar>
        </w:tblPrEx>
        <w:trPr>
          <w:cantSplit/>
          <w:trHeight w:val="560"/>
        </w:trPr>
        <w:tc>
          <w:tcPr>
            <w:tcW w:w="700" w:type="dxa"/>
            <w:tcMar>
              <w:top w:w="0" w:type="dxa"/>
              <w:bottom w:w="0" w:type="dxa"/>
            </w:tcMar>
            <w:vAlign w:val="center"/>
          </w:tcPr>
          <w:p w14:paraId="5C5058A7" w14:textId="77777777" w:rsidR="00807083" w:rsidRDefault="008A23A1">
            <w:pPr>
              <w:keepNext/>
              <w:keepLines/>
              <w:spacing w:after="0" w:line="240" w:lineRule="auto"/>
            </w:pPr>
            <w:r>
              <w:rPr>
                <w:sz w:val="18"/>
              </w:rPr>
              <w:t>24</w:t>
            </w:r>
          </w:p>
        </w:tc>
        <w:tc>
          <w:tcPr>
            <w:tcW w:w="3180" w:type="dxa"/>
            <w:tcMar>
              <w:top w:w="0" w:type="dxa"/>
              <w:bottom w:w="0" w:type="dxa"/>
            </w:tcMar>
            <w:vAlign w:val="center"/>
          </w:tcPr>
          <w:p w14:paraId="1165ED57" w14:textId="77777777" w:rsidR="00807083" w:rsidRDefault="008A23A1">
            <w:pPr>
              <w:keepNext/>
              <w:keepLines/>
              <w:spacing w:after="0" w:line="240" w:lineRule="auto"/>
            </w:pPr>
            <w:r>
              <w:rPr>
                <w:sz w:val="18"/>
              </w:rPr>
              <w:t>Obveze za nabavu nefinancijske imovine (šifre 241 do 245)</w:t>
            </w:r>
          </w:p>
        </w:tc>
        <w:tc>
          <w:tcPr>
            <w:tcW w:w="700" w:type="dxa"/>
            <w:tcMar>
              <w:top w:w="0" w:type="dxa"/>
              <w:bottom w:w="0" w:type="dxa"/>
            </w:tcMar>
            <w:vAlign w:val="center"/>
          </w:tcPr>
          <w:p w14:paraId="0E4EE0F3" w14:textId="77777777" w:rsidR="00807083" w:rsidRDefault="008A23A1">
            <w:pPr>
              <w:keepNext/>
              <w:keepLines/>
              <w:spacing w:after="0" w:line="240" w:lineRule="auto"/>
            </w:pPr>
            <w:r>
              <w:rPr>
                <w:sz w:val="18"/>
              </w:rPr>
              <w:t>24</w:t>
            </w:r>
          </w:p>
        </w:tc>
        <w:tc>
          <w:tcPr>
            <w:tcW w:w="1860" w:type="dxa"/>
            <w:tcMar>
              <w:top w:w="0" w:type="dxa"/>
              <w:bottom w:w="0" w:type="dxa"/>
            </w:tcMar>
            <w:vAlign w:val="center"/>
          </w:tcPr>
          <w:p w14:paraId="0318828D" w14:textId="77777777" w:rsidR="00807083" w:rsidRDefault="008A23A1">
            <w:pPr>
              <w:keepNext/>
              <w:keepLines/>
              <w:spacing w:after="0" w:line="240" w:lineRule="auto"/>
              <w:jc w:val="right"/>
            </w:pPr>
            <w:r>
              <w:rPr>
                <w:sz w:val="18"/>
              </w:rPr>
              <w:t>5.292.416,25</w:t>
            </w:r>
          </w:p>
        </w:tc>
        <w:tc>
          <w:tcPr>
            <w:tcW w:w="1860" w:type="dxa"/>
            <w:tcMar>
              <w:top w:w="0" w:type="dxa"/>
              <w:bottom w:w="0" w:type="dxa"/>
            </w:tcMar>
            <w:vAlign w:val="center"/>
          </w:tcPr>
          <w:p w14:paraId="5E551E82" w14:textId="77777777" w:rsidR="00807083" w:rsidRDefault="008A23A1">
            <w:pPr>
              <w:keepNext/>
              <w:keepLines/>
              <w:spacing w:after="0" w:line="240" w:lineRule="auto"/>
              <w:jc w:val="right"/>
            </w:pPr>
            <w:r>
              <w:rPr>
                <w:sz w:val="18"/>
              </w:rPr>
              <w:t>775.268,70</w:t>
            </w:r>
          </w:p>
        </w:tc>
        <w:tc>
          <w:tcPr>
            <w:tcW w:w="700" w:type="dxa"/>
            <w:tcMar>
              <w:top w:w="0" w:type="dxa"/>
              <w:bottom w:w="0" w:type="dxa"/>
            </w:tcMar>
            <w:vAlign w:val="center"/>
          </w:tcPr>
          <w:p w14:paraId="02803F6B" w14:textId="77777777" w:rsidR="00807083" w:rsidRDefault="008A23A1">
            <w:pPr>
              <w:keepNext/>
              <w:keepLines/>
              <w:spacing w:after="0" w:line="240" w:lineRule="auto"/>
              <w:jc w:val="right"/>
            </w:pPr>
            <w:r>
              <w:rPr>
                <w:sz w:val="18"/>
              </w:rPr>
              <w:t>14,6</w:t>
            </w:r>
          </w:p>
        </w:tc>
      </w:tr>
    </w:tbl>
    <w:p w14:paraId="5E33F02D" w14:textId="77777777" w:rsidR="00807083" w:rsidRDefault="00807083">
      <w:pPr>
        <w:spacing w:after="0"/>
      </w:pPr>
    </w:p>
    <w:p w14:paraId="0991EA20" w14:textId="77777777" w:rsidR="00807083" w:rsidRDefault="008A23A1">
      <w:r>
        <w:t>Do smanjenja na poziciji 24 - Obveze za nabavu nefinancijske imovine dolazi zbog nabave opreme u sklopu projekta e-Sveučilišta, gdje je većina računa pristigla u prosincu 2024. godine, sa dospijećem plaćanja u siječnju 2025. godine. Najveći dio nabavljene opreme odnosi se na nabavu infrastrukture za servise za podršku informatizaciji visokih učilišta i smještaj video materijala.</w:t>
      </w:r>
    </w:p>
    <w:p w14:paraId="3DCF7483" w14:textId="77777777" w:rsidR="00807083" w:rsidRDefault="00807083"/>
    <w:p w14:paraId="5AB5A9D8" w14:textId="77777777" w:rsidR="00807083" w:rsidRDefault="008A23A1">
      <w:pPr>
        <w:keepNext/>
        <w:spacing w:line="240" w:lineRule="auto"/>
        <w:jc w:val="center"/>
      </w:pPr>
      <w:r>
        <w:rPr>
          <w:sz w:val="28"/>
        </w:rPr>
        <w:lastRenderedPageBreak/>
        <w:t>Bilješka 28.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6D8C17B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6419EA9"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E706F0C"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A60D4EF"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FD5A9CB"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2DFA9D6"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9834F74" w14:textId="77777777" w:rsidR="00807083" w:rsidRDefault="008A23A1">
            <w:pPr>
              <w:keepNext/>
              <w:keepLines/>
              <w:spacing w:after="0" w:line="240" w:lineRule="auto"/>
              <w:jc w:val="center"/>
            </w:pPr>
            <w:r>
              <w:rPr>
                <w:b/>
                <w:sz w:val="18"/>
              </w:rPr>
              <w:t>Indeks (%)</w:t>
            </w:r>
          </w:p>
        </w:tc>
      </w:tr>
      <w:tr w:rsidR="00807083" w14:paraId="47C638FA" w14:textId="77777777">
        <w:tblPrEx>
          <w:tblCellMar>
            <w:top w:w="0" w:type="dxa"/>
            <w:bottom w:w="0" w:type="dxa"/>
          </w:tblCellMar>
        </w:tblPrEx>
        <w:trPr>
          <w:cantSplit/>
          <w:trHeight w:val="560"/>
        </w:trPr>
        <w:tc>
          <w:tcPr>
            <w:tcW w:w="700" w:type="dxa"/>
            <w:tcMar>
              <w:top w:w="0" w:type="dxa"/>
              <w:bottom w:w="0" w:type="dxa"/>
            </w:tcMar>
            <w:vAlign w:val="center"/>
          </w:tcPr>
          <w:p w14:paraId="32779E81" w14:textId="77777777" w:rsidR="00807083" w:rsidRDefault="008A23A1">
            <w:pPr>
              <w:keepNext/>
              <w:keepLines/>
              <w:spacing w:after="0" w:line="240" w:lineRule="auto"/>
            </w:pPr>
            <w:r>
              <w:rPr>
                <w:sz w:val="18"/>
              </w:rPr>
              <w:t>27</w:t>
            </w:r>
          </w:p>
        </w:tc>
        <w:tc>
          <w:tcPr>
            <w:tcW w:w="3180" w:type="dxa"/>
            <w:tcMar>
              <w:top w:w="0" w:type="dxa"/>
              <w:bottom w:w="0" w:type="dxa"/>
            </w:tcMar>
            <w:vAlign w:val="center"/>
          </w:tcPr>
          <w:p w14:paraId="3208839F" w14:textId="77777777" w:rsidR="00807083" w:rsidRDefault="008A23A1">
            <w:pPr>
              <w:keepNext/>
              <w:keepLines/>
              <w:spacing w:after="0" w:line="240" w:lineRule="auto"/>
            </w:pPr>
            <w:r>
              <w:rPr>
                <w:sz w:val="18"/>
              </w:rPr>
              <w:t>Obveze za predujmove, depozite, jamčevne pologe i tuđe prihode</w:t>
            </w:r>
          </w:p>
        </w:tc>
        <w:tc>
          <w:tcPr>
            <w:tcW w:w="700" w:type="dxa"/>
            <w:tcMar>
              <w:top w:w="0" w:type="dxa"/>
              <w:bottom w:w="0" w:type="dxa"/>
            </w:tcMar>
            <w:vAlign w:val="center"/>
          </w:tcPr>
          <w:p w14:paraId="0BAE2C8D" w14:textId="77777777" w:rsidR="00807083" w:rsidRDefault="008A23A1">
            <w:pPr>
              <w:keepNext/>
              <w:keepLines/>
              <w:spacing w:after="0" w:line="240" w:lineRule="auto"/>
            </w:pPr>
            <w:r>
              <w:rPr>
                <w:sz w:val="18"/>
              </w:rPr>
              <w:t>27</w:t>
            </w:r>
          </w:p>
        </w:tc>
        <w:tc>
          <w:tcPr>
            <w:tcW w:w="1860" w:type="dxa"/>
            <w:tcMar>
              <w:top w:w="0" w:type="dxa"/>
              <w:bottom w:w="0" w:type="dxa"/>
            </w:tcMar>
            <w:vAlign w:val="center"/>
          </w:tcPr>
          <w:p w14:paraId="33EFE322" w14:textId="77777777" w:rsidR="00807083" w:rsidRDefault="008A23A1">
            <w:pPr>
              <w:keepNext/>
              <w:keepLines/>
              <w:spacing w:after="0" w:line="240" w:lineRule="auto"/>
              <w:jc w:val="right"/>
            </w:pPr>
            <w:r>
              <w:rPr>
                <w:sz w:val="18"/>
              </w:rPr>
              <w:t>0,00</w:t>
            </w:r>
          </w:p>
        </w:tc>
        <w:tc>
          <w:tcPr>
            <w:tcW w:w="1860" w:type="dxa"/>
            <w:tcMar>
              <w:top w:w="0" w:type="dxa"/>
              <w:bottom w:w="0" w:type="dxa"/>
            </w:tcMar>
            <w:vAlign w:val="center"/>
          </w:tcPr>
          <w:p w14:paraId="14E954E3" w14:textId="77777777" w:rsidR="00807083" w:rsidRDefault="008A23A1">
            <w:pPr>
              <w:keepNext/>
              <w:keepLines/>
              <w:spacing w:after="0" w:line="240" w:lineRule="auto"/>
              <w:jc w:val="right"/>
            </w:pPr>
            <w:r>
              <w:rPr>
                <w:sz w:val="18"/>
              </w:rPr>
              <w:t>3.480.552,30</w:t>
            </w:r>
          </w:p>
        </w:tc>
        <w:tc>
          <w:tcPr>
            <w:tcW w:w="700" w:type="dxa"/>
            <w:tcMar>
              <w:top w:w="0" w:type="dxa"/>
              <w:bottom w:w="0" w:type="dxa"/>
            </w:tcMar>
            <w:vAlign w:val="center"/>
          </w:tcPr>
          <w:p w14:paraId="566A5185" w14:textId="77777777" w:rsidR="00807083" w:rsidRDefault="008A23A1">
            <w:pPr>
              <w:keepNext/>
              <w:keepLines/>
              <w:spacing w:after="0" w:line="240" w:lineRule="auto"/>
              <w:jc w:val="right"/>
            </w:pPr>
            <w:r>
              <w:rPr>
                <w:sz w:val="18"/>
              </w:rPr>
              <w:t>-</w:t>
            </w:r>
          </w:p>
        </w:tc>
      </w:tr>
    </w:tbl>
    <w:p w14:paraId="1A84AA9C" w14:textId="77777777" w:rsidR="00807083" w:rsidRDefault="00807083">
      <w:pPr>
        <w:spacing w:after="0"/>
      </w:pPr>
    </w:p>
    <w:p w14:paraId="6E91E9B4" w14:textId="77777777" w:rsidR="00807083" w:rsidRDefault="008A23A1">
      <w:r>
        <w:t>Na poziciji pod šifrom 9221 izvršena je korekcija rezultata uslijed promjene metodologije evidentiranja EU projekata. U skladu s navedenim, uplata primljenog predujma za projekt „Uspostava nacionalnog koordinacijskog središta za industriju, tehnologiju i istraživanja u području kibernetičke sigurnosti“, u iznosu od 3.149.720,90 EUR, evidentirana je na stavci Obveze za EU predujmove dane od institucija i tijela Europske unije.</w:t>
      </w:r>
    </w:p>
    <w:p w14:paraId="6EBF7FB8" w14:textId="77777777" w:rsidR="00807083" w:rsidRDefault="00807083"/>
    <w:p w14:paraId="4393B43F" w14:textId="77777777" w:rsidR="00807083" w:rsidRDefault="008A23A1">
      <w:pPr>
        <w:keepNext/>
        <w:spacing w:line="240" w:lineRule="auto"/>
        <w:jc w:val="center"/>
      </w:pPr>
      <w:r>
        <w:rPr>
          <w:sz w:val="28"/>
        </w:rPr>
        <w:t>Bilješka 29.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5DD85A8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476BF37"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A924ACB"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94C0EDC"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5E2E1D8"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BFEDFBA"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2BD9CE9E" w14:textId="77777777" w:rsidR="00807083" w:rsidRDefault="008A23A1">
            <w:pPr>
              <w:keepNext/>
              <w:keepLines/>
              <w:spacing w:after="0" w:line="240" w:lineRule="auto"/>
              <w:jc w:val="center"/>
            </w:pPr>
            <w:r>
              <w:rPr>
                <w:b/>
                <w:sz w:val="18"/>
              </w:rPr>
              <w:t>Indeks (%)</w:t>
            </w:r>
          </w:p>
        </w:tc>
      </w:tr>
      <w:tr w:rsidR="00807083" w14:paraId="6B63723A" w14:textId="77777777">
        <w:tblPrEx>
          <w:tblCellMar>
            <w:top w:w="0" w:type="dxa"/>
            <w:bottom w:w="0" w:type="dxa"/>
          </w:tblCellMar>
        </w:tblPrEx>
        <w:trPr>
          <w:cantSplit/>
          <w:trHeight w:val="560"/>
        </w:trPr>
        <w:tc>
          <w:tcPr>
            <w:tcW w:w="700" w:type="dxa"/>
            <w:tcMar>
              <w:top w:w="0" w:type="dxa"/>
              <w:bottom w:w="0" w:type="dxa"/>
            </w:tcMar>
            <w:vAlign w:val="center"/>
          </w:tcPr>
          <w:p w14:paraId="5016437D" w14:textId="77777777" w:rsidR="00807083" w:rsidRDefault="008A23A1">
            <w:pPr>
              <w:keepNext/>
              <w:keepLines/>
              <w:spacing w:after="0" w:line="240" w:lineRule="auto"/>
            </w:pPr>
            <w:r>
              <w:rPr>
                <w:sz w:val="18"/>
              </w:rPr>
              <w:t>911</w:t>
            </w:r>
          </w:p>
        </w:tc>
        <w:tc>
          <w:tcPr>
            <w:tcW w:w="3180" w:type="dxa"/>
            <w:tcMar>
              <w:top w:w="0" w:type="dxa"/>
              <w:bottom w:w="0" w:type="dxa"/>
            </w:tcMar>
            <w:vAlign w:val="center"/>
          </w:tcPr>
          <w:p w14:paraId="0127E6B5" w14:textId="77777777" w:rsidR="00807083" w:rsidRDefault="008A23A1">
            <w:pPr>
              <w:keepNext/>
              <w:keepLines/>
              <w:spacing w:after="0" w:line="240" w:lineRule="auto"/>
            </w:pPr>
            <w:r>
              <w:rPr>
                <w:sz w:val="18"/>
              </w:rPr>
              <w:t>Vlastiti izvori</w:t>
            </w:r>
          </w:p>
        </w:tc>
        <w:tc>
          <w:tcPr>
            <w:tcW w:w="700" w:type="dxa"/>
            <w:tcMar>
              <w:top w:w="0" w:type="dxa"/>
              <w:bottom w:w="0" w:type="dxa"/>
            </w:tcMar>
            <w:vAlign w:val="center"/>
          </w:tcPr>
          <w:p w14:paraId="72CA6E7D" w14:textId="77777777" w:rsidR="00807083" w:rsidRDefault="008A23A1">
            <w:pPr>
              <w:keepNext/>
              <w:keepLines/>
              <w:spacing w:after="0" w:line="240" w:lineRule="auto"/>
            </w:pPr>
            <w:r>
              <w:rPr>
                <w:sz w:val="18"/>
              </w:rPr>
              <w:t>911</w:t>
            </w:r>
          </w:p>
        </w:tc>
        <w:tc>
          <w:tcPr>
            <w:tcW w:w="1860" w:type="dxa"/>
            <w:tcMar>
              <w:top w:w="0" w:type="dxa"/>
              <w:bottom w:w="0" w:type="dxa"/>
            </w:tcMar>
            <w:vAlign w:val="center"/>
          </w:tcPr>
          <w:p w14:paraId="5AFDAF37" w14:textId="77777777" w:rsidR="00807083" w:rsidRDefault="008A23A1">
            <w:pPr>
              <w:keepNext/>
              <w:keepLines/>
              <w:spacing w:after="0" w:line="240" w:lineRule="auto"/>
              <w:jc w:val="right"/>
            </w:pPr>
            <w:r>
              <w:rPr>
                <w:sz w:val="18"/>
              </w:rPr>
              <w:t>38.772.555,50</w:t>
            </w:r>
          </w:p>
        </w:tc>
        <w:tc>
          <w:tcPr>
            <w:tcW w:w="1860" w:type="dxa"/>
            <w:tcMar>
              <w:top w:w="0" w:type="dxa"/>
              <w:bottom w:w="0" w:type="dxa"/>
            </w:tcMar>
            <w:vAlign w:val="center"/>
          </w:tcPr>
          <w:p w14:paraId="5137B575" w14:textId="77777777" w:rsidR="00807083" w:rsidRDefault="008A23A1">
            <w:pPr>
              <w:keepNext/>
              <w:keepLines/>
              <w:spacing w:after="0" w:line="240" w:lineRule="auto"/>
              <w:jc w:val="right"/>
            </w:pPr>
            <w:r>
              <w:rPr>
                <w:sz w:val="18"/>
              </w:rPr>
              <w:t>37.811.772,96</w:t>
            </w:r>
          </w:p>
        </w:tc>
        <w:tc>
          <w:tcPr>
            <w:tcW w:w="700" w:type="dxa"/>
            <w:tcMar>
              <w:top w:w="0" w:type="dxa"/>
              <w:bottom w:w="0" w:type="dxa"/>
            </w:tcMar>
            <w:vAlign w:val="center"/>
          </w:tcPr>
          <w:p w14:paraId="61393998" w14:textId="77777777" w:rsidR="00807083" w:rsidRDefault="008A23A1">
            <w:pPr>
              <w:keepNext/>
              <w:keepLines/>
              <w:spacing w:after="0" w:line="240" w:lineRule="auto"/>
              <w:jc w:val="right"/>
            </w:pPr>
            <w:r>
              <w:rPr>
                <w:sz w:val="18"/>
              </w:rPr>
              <w:t>97,5</w:t>
            </w:r>
          </w:p>
        </w:tc>
      </w:tr>
    </w:tbl>
    <w:p w14:paraId="61221E7E" w14:textId="77777777" w:rsidR="00807083" w:rsidRDefault="00807083">
      <w:pPr>
        <w:spacing w:after="0"/>
      </w:pPr>
    </w:p>
    <w:p w14:paraId="74F8B8B0" w14:textId="77777777" w:rsidR="00807083" w:rsidRDefault="008A23A1">
      <w:r>
        <w:t>Smanjenje je evidentirano i na poziciji Vlastiti izvori iz proračuna, uslijed prijenosa vlasništva imovine krajnjim korisnicima projekta ATTEND tijekom 2024. godine.</w:t>
      </w:r>
    </w:p>
    <w:p w14:paraId="04D22DE1" w14:textId="77777777" w:rsidR="00807083" w:rsidRDefault="00807083"/>
    <w:p w14:paraId="0E36C09F" w14:textId="77777777" w:rsidR="00807083" w:rsidRDefault="008A23A1">
      <w:pPr>
        <w:keepNext/>
        <w:spacing w:line="240" w:lineRule="auto"/>
        <w:jc w:val="center"/>
      </w:pPr>
      <w:r>
        <w:rPr>
          <w:sz w:val="28"/>
        </w:rPr>
        <w:t>Bilješka 30.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428AD2A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58849DC"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8865C4E"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58FFEF2"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0343EE3"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7F5D7469"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F47DA34" w14:textId="77777777" w:rsidR="00807083" w:rsidRDefault="008A23A1">
            <w:pPr>
              <w:keepNext/>
              <w:keepLines/>
              <w:spacing w:after="0" w:line="240" w:lineRule="auto"/>
              <w:jc w:val="center"/>
            </w:pPr>
            <w:r>
              <w:rPr>
                <w:b/>
                <w:sz w:val="18"/>
              </w:rPr>
              <w:t>Indeks (%)</w:t>
            </w:r>
          </w:p>
        </w:tc>
      </w:tr>
      <w:tr w:rsidR="00807083" w14:paraId="22C905E6" w14:textId="77777777">
        <w:tblPrEx>
          <w:tblCellMar>
            <w:top w:w="0" w:type="dxa"/>
            <w:bottom w:w="0" w:type="dxa"/>
          </w:tblCellMar>
        </w:tblPrEx>
        <w:trPr>
          <w:cantSplit/>
          <w:trHeight w:val="560"/>
        </w:trPr>
        <w:tc>
          <w:tcPr>
            <w:tcW w:w="700" w:type="dxa"/>
            <w:tcMar>
              <w:top w:w="0" w:type="dxa"/>
              <w:bottom w:w="0" w:type="dxa"/>
            </w:tcMar>
            <w:vAlign w:val="center"/>
          </w:tcPr>
          <w:p w14:paraId="62C15C96" w14:textId="77777777" w:rsidR="00807083" w:rsidRDefault="008A23A1">
            <w:pPr>
              <w:keepNext/>
              <w:keepLines/>
              <w:spacing w:after="0" w:line="240" w:lineRule="auto"/>
            </w:pPr>
            <w:r>
              <w:rPr>
                <w:sz w:val="18"/>
              </w:rPr>
              <w:t>922</w:t>
            </w:r>
          </w:p>
        </w:tc>
        <w:tc>
          <w:tcPr>
            <w:tcW w:w="3180" w:type="dxa"/>
            <w:tcMar>
              <w:top w:w="0" w:type="dxa"/>
              <w:bottom w:w="0" w:type="dxa"/>
            </w:tcMar>
            <w:vAlign w:val="center"/>
          </w:tcPr>
          <w:p w14:paraId="2F09DE9B" w14:textId="77777777" w:rsidR="00807083" w:rsidRDefault="008A23A1">
            <w:pPr>
              <w:keepNext/>
              <w:keepLines/>
              <w:spacing w:after="0" w:line="240" w:lineRule="auto"/>
            </w:pPr>
            <w:r>
              <w:rPr>
                <w:sz w:val="18"/>
              </w:rPr>
              <w:t>Rezultat - višak/manjak (šifre 9221-9222)</w:t>
            </w:r>
          </w:p>
        </w:tc>
        <w:tc>
          <w:tcPr>
            <w:tcW w:w="700" w:type="dxa"/>
            <w:tcMar>
              <w:top w:w="0" w:type="dxa"/>
              <w:bottom w:w="0" w:type="dxa"/>
            </w:tcMar>
            <w:vAlign w:val="center"/>
          </w:tcPr>
          <w:p w14:paraId="28AD9A4E" w14:textId="77777777" w:rsidR="00807083" w:rsidRDefault="008A23A1">
            <w:pPr>
              <w:keepNext/>
              <w:keepLines/>
              <w:spacing w:after="0" w:line="240" w:lineRule="auto"/>
            </w:pPr>
            <w:r>
              <w:rPr>
                <w:sz w:val="18"/>
              </w:rPr>
              <w:t>922</w:t>
            </w:r>
          </w:p>
        </w:tc>
        <w:tc>
          <w:tcPr>
            <w:tcW w:w="1860" w:type="dxa"/>
            <w:tcMar>
              <w:top w:w="0" w:type="dxa"/>
              <w:bottom w:w="0" w:type="dxa"/>
            </w:tcMar>
            <w:vAlign w:val="center"/>
          </w:tcPr>
          <w:p w14:paraId="27056C71" w14:textId="77777777" w:rsidR="00807083" w:rsidRDefault="008A23A1">
            <w:pPr>
              <w:keepNext/>
              <w:keepLines/>
              <w:spacing w:after="0" w:line="240" w:lineRule="auto"/>
              <w:jc w:val="right"/>
            </w:pPr>
            <w:r>
              <w:rPr>
                <w:sz w:val="18"/>
              </w:rPr>
              <w:t>-2.111.657,92</w:t>
            </w:r>
          </w:p>
        </w:tc>
        <w:tc>
          <w:tcPr>
            <w:tcW w:w="1860" w:type="dxa"/>
            <w:tcMar>
              <w:top w:w="0" w:type="dxa"/>
              <w:bottom w:w="0" w:type="dxa"/>
            </w:tcMar>
            <w:vAlign w:val="center"/>
          </w:tcPr>
          <w:p w14:paraId="161DF72E" w14:textId="77777777" w:rsidR="00807083" w:rsidRDefault="008A23A1">
            <w:pPr>
              <w:keepNext/>
              <w:keepLines/>
              <w:spacing w:after="0" w:line="240" w:lineRule="auto"/>
              <w:jc w:val="right"/>
            </w:pPr>
            <w:r>
              <w:rPr>
                <w:sz w:val="18"/>
              </w:rPr>
              <w:t>-2.569.966,46</w:t>
            </w:r>
          </w:p>
        </w:tc>
        <w:tc>
          <w:tcPr>
            <w:tcW w:w="700" w:type="dxa"/>
            <w:tcMar>
              <w:top w:w="0" w:type="dxa"/>
              <w:bottom w:w="0" w:type="dxa"/>
            </w:tcMar>
            <w:vAlign w:val="center"/>
          </w:tcPr>
          <w:p w14:paraId="16A0682B" w14:textId="77777777" w:rsidR="00807083" w:rsidRDefault="008A23A1">
            <w:pPr>
              <w:keepNext/>
              <w:keepLines/>
              <w:spacing w:after="0" w:line="240" w:lineRule="auto"/>
              <w:jc w:val="right"/>
            </w:pPr>
            <w:r>
              <w:rPr>
                <w:sz w:val="18"/>
              </w:rPr>
              <w:t>121,7</w:t>
            </w:r>
          </w:p>
        </w:tc>
      </w:tr>
    </w:tbl>
    <w:p w14:paraId="14F41EF3" w14:textId="77777777" w:rsidR="00807083" w:rsidRDefault="00807083">
      <w:pPr>
        <w:spacing w:after="0"/>
      </w:pPr>
    </w:p>
    <w:p w14:paraId="7454144F" w14:textId="77777777" w:rsidR="00807083" w:rsidRDefault="008A23A1">
      <w:r>
        <w:t>Na poziciji pod šifrom 9221 izvršena je korekcija rezultata uslijed promjene metodologije evidentiranja EU projekata. U skladu s navedenim, uplata primljenog predujma za projekt „Uspostava nacionalnog koordinacijskog središta za industriju, tehnologiju i istraživanja u području kibernetičke sigurnosti“, u iznosu od 3.149.720,90 EUR, evidentirana je na stavci Obveze za EU predujmove dane od institucija i tijela Europske unije.</w:t>
      </w:r>
    </w:p>
    <w:p w14:paraId="589C1834" w14:textId="77777777" w:rsidR="00807083" w:rsidRDefault="008A23A1">
      <w:r>
        <w:t>Korekcija rezultata provedena je i za projekt R.O.O.T – Reach Out, Overcome and Transform, budući da je Veleposlanstvo Sjedinjenih Američkih Država donijelo odluku o raskidu Ugovora o dodjeli potpore.</w:t>
      </w:r>
    </w:p>
    <w:p w14:paraId="77596651" w14:textId="77777777" w:rsidR="00807083" w:rsidRDefault="008A23A1">
      <w:r>
        <w:t>Temeljem članka 82. Pravilnika o proračunskom računovodstvu i računskom planu, saldo rezultata na kraju godine utvrđen je pod šifrom 922 u iznosu od –2.569.969,46 EUR.</w:t>
      </w:r>
    </w:p>
    <w:p w14:paraId="3BB7330D" w14:textId="77777777" w:rsidR="00807083" w:rsidRDefault="00807083"/>
    <w:p w14:paraId="7E2E5CD9" w14:textId="77777777" w:rsidR="00807083" w:rsidRDefault="008A23A1">
      <w:pPr>
        <w:keepNext/>
        <w:spacing w:line="240" w:lineRule="auto"/>
        <w:jc w:val="center"/>
      </w:pPr>
      <w:r>
        <w:rPr>
          <w:sz w:val="28"/>
        </w:rPr>
        <w:lastRenderedPageBreak/>
        <w:t>Bilješka 31.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43EAC07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3ACFCF2"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E70C388"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709F64C"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43A9CCD"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279E1A20"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775CF332" w14:textId="77777777" w:rsidR="00807083" w:rsidRDefault="008A23A1">
            <w:pPr>
              <w:keepNext/>
              <w:keepLines/>
              <w:spacing w:after="0" w:line="240" w:lineRule="auto"/>
              <w:jc w:val="center"/>
            </w:pPr>
            <w:r>
              <w:rPr>
                <w:b/>
                <w:sz w:val="18"/>
              </w:rPr>
              <w:t>Indeks (%)</w:t>
            </w:r>
          </w:p>
        </w:tc>
      </w:tr>
      <w:tr w:rsidR="00807083" w14:paraId="0348F86E" w14:textId="77777777">
        <w:tblPrEx>
          <w:tblCellMar>
            <w:top w:w="0" w:type="dxa"/>
            <w:bottom w:w="0" w:type="dxa"/>
          </w:tblCellMar>
        </w:tblPrEx>
        <w:trPr>
          <w:cantSplit/>
          <w:trHeight w:val="560"/>
        </w:trPr>
        <w:tc>
          <w:tcPr>
            <w:tcW w:w="700" w:type="dxa"/>
            <w:tcMar>
              <w:top w:w="0" w:type="dxa"/>
              <w:bottom w:w="0" w:type="dxa"/>
            </w:tcMar>
            <w:vAlign w:val="center"/>
          </w:tcPr>
          <w:p w14:paraId="1FE7A161" w14:textId="77777777" w:rsidR="00807083" w:rsidRDefault="008A23A1">
            <w:pPr>
              <w:keepNext/>
              <w:keepLines/>
              <w:spacing w:after="0" w:line="240" w:lineRule="auto"/>
            </w:pPr>
            <w:r>
              <w:rPr>
                <w:sz w:val="18"/>
              </w:rPr>
              <w:t>92221</w:t>
            </w:r>
          </w:p>
        </w:tc>
        <w:tc>
          <w:tcPr>
            <w:tcW w:w="3180" w:type="dxa"/>
            <w:tcMar>
              <w:top w:w="0" w:type="dxa"/>
              <w:bottom w:w="0" w:type="dxa"/>
            </w:tcMar>
            <w:vAlign w:val="center"/>
          </w:tcPr>
          <w:p w14:paraId="1426C688" w14:textId="77777777" w:rsidR="00807083" w:rsidRDefault="008A23A1">
            <w:pPr>
              <w:keepNext/>
              <w:keepLines/>
              <w:spacing w:after="0" w:line="240" w:lineRule="auto"/>
            </w:pPr>
            <w:r>
              <w:rPr>
                <w:sz w:val="18"/>
              </w:rPr>
              <w:t>Manjak prihoda poslovanja</w:t>
            </w:r>
          </w:p>
        </w:tc>
        <w:tc>
          <w:tcPr>
            <w:tcW w:w="700" w:type="dxa"/>
            <w:tcMar>
              <w:top w:w="0" w:type="dxa"/>
              <w:bottom w:w="0" w:type="dxa"/>
            </w:tcMar>
            <w:vAlign w:val="center"/>
          </w:tcPr>
          <w:p w14:paraId="2E9AFD0A" w14:textId="77777777" w:rsidR="00807083" w:rsidRDefault="008A23A1">
            <w:pPr>
              <w:keepNext/>
              <w:keepLines/>
              <w:spacing w:after="0" w:line="240" w:lineRule="auto"/>
            </w:pPr>
            <w:r>
              <w:rPr>
                <w:sz w:val="18"/>
              </w:rPr>
              <w:t>92221</w:t>
            </w:r>
          </w:p>
        </w:tc>
        <w:tc>
          <w:tcPr>
            <w:tcW w:w="1860" w:type="dxa"/>
            <w:tcMar>
              <w:top w:w="0" w:type="dxa"/>
              <w:bottom w:w="0" w:type="dxa"/>
            </w:tcMar>
            <w:vAlign w:val="center"/>
          </w:tcPr>
          <w:p w14:paraId="0AEA33DD" w14:textId="77777777" w:rsidR="00807083" w:rsidRDefault="008A23A1">
            <w:pPr>
              <w:keepNext/>
              <w:keepLines/>
              <w:spacing w:after="0" w:line="240" w:lineRule="auto"/>
              <w:jc w:val="right"/>
            </w:pPr>
            <w:r>
              <w:rPr>
                <w:sz w:val="18"/>
              </w:rPr>
              <w:t>0,00</w:t>
            </w:r>
          </w:p>
        </w:tc>
        <w:tc>
          <w:tcPr>
            <w:tcW w:w="1860" w:type="dxa"/>
            <w:tcMar>
              <w:top w:w="0" w:type="dxa"/>
              <w:bottom w:w="0" w:type="dxa"/>
            </w:tcMar>
            <w:vAlign w:val="center"/>
          </w:tcPr>
          <w:p w14:paraId="55D466D9" w14:textId="77777777" w:rsidR="00807083" w:rsidRDefault="008A23A1">
            <w:pPr>
              <w:keepNext/>
              <w:keepLines/>
              <w:spacing w:after="0" w:line="240" w:lineRule="auto"/>
              <w:jc w:val="right"/>
            </w:pPr>
            <w:r>
              <w:rPr>
                <w:sz w:val="18"/>
              </w:rPr>
              <w:t>1.512.531,54</w:t>
            </w:r>
          </w:p>
        </w:tc>
        <w:tc>
          <w:tcPr>
            <w:tcW w:w="700" w:type="dxa"/>
            <w:tcMar>
              <w:top w:w="0" w:type="dxa"/>
              <w:bottom w:w="0" w:type="dxa"/>
            </w:tcMar>
            <w:vAlign w:val="center"/>
          </w:tcPr>
          <w:p w14:paraId="507A6A33" w14:textId="77777777" w:rsidR="00807083" w:rsidRDefault="008A23A1">
            <w:pPr>
              <w:keepNext/>
              <w:keepLines/>
              <w:spacing w:after="0" w:line="240" w:lineRule="auto"/>
              <w:jc w:val="right"/>
            </w:pPr>
            <w:r>
              <w:rPr>
                <w:sz w:val="18"/>
              </w:rPr>
              <w:t>-</w:t>
            </w:r>
          </w:p>
        </w:tc>
      </w:tr>
    </w:tbl>
    <w:p w14:paraId="216F3588" w14:textId="77777777" w:rsidR="00807083" w:rsidRDefault="00807083">
      <w:pPr>
        <w:spacing w:after="0"/>
      </w:pPr>
    </w:p>
    <w:p w14:paraId="42656445" w14:textId="77777777" w:rsidR="00807083" w:rsidRDefault="008A23A1">
      <w:r>
        <w:t>U 2024. godini isplaćen je predujam za projekt „Uspostava nacionalnog koordinacijskog središta za industriju, tehnologiju i istraživanja u području kibernetičke sigurnosti“ u iznosu od 3.149.720,90 eura, koji je u 2025. godini preknjižen na Obveze za EU predujmove dane od institucija i tijela EU, čime je iskazan manjak.</w:t>
      </w:r>
    </w:p>
    <w:p w14:paraId="46C48EF2" w14:textId="77777777" w:rsidR="00807083" w:rsidRDefault="00807083"/>
    <w:p w14:paraId="7DACB89F" w14:textId="77777777" w:rsidR="00807083" w:rsidRDefault="008A23A1">
      <w:pPr>
        <w:keepNext/>
        <w:spacing w:line="240" w:lineRule="auto"/>
        <w:jc w:val="center"/>
      </w:pPr>
      <w:r>
        <w:rPr>
          <w:sz w:val="28"/>
        </w:rPr>
        <w:t>Bilješka 32.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1574A62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6339C60"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5030F60"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171C36C"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462CF24" w14:textId="77777777" w:rsidR="00807083" w:rsidRDefault="008A23A1">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1DB167CE" w14:textId="77777777" w:rsidR="00807083" w:rsidRDefault="008A23A1">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9E80781" w14:textId="77777777" w:rsidR="00807083" w:rsidRDefault="008A23A1">
            <w:pPr>
              <w:keepNext/>
              <w:keepLines/>
              <w:spacing w:after="0" w:line="240" w:lineRule="auto"/>
              <w:jc w:val="center"/>
            </w:pPr>
            <w:r>
              <w:rPr>
                <w:b/>
                <w:sz w:val="18"/>
              </w:rPr>
              <w:t>Indeks (%)</w:t>
            </w:r>
          </w:p>
        </w:tc>
      </w:tr>
      <w:tr w:rsidR="00807083" w14:paraId="4C22F872" w14:textId="77777777">
        <w:tblPrEx>
          <w:tblCellMar>
            <w:top w:w="0" w:type="dxa"/>
            <w:bottom w:w="0" w:type="dxa"/>
          </w:tblCellMar>
        </w:tblPrEx>
        <w:trPr>
          <w:cantSplit/>
          <w:trHeight w:val="560"/>
        </w:trPr>
        <w:tc>
          <w:tcPr>
            <w:tcW w:w="700" w:type="dxa"/>
            <w:tcMar>
              <w:top w:w="0" w:type="dxa"/>
              <w:bottom w:w="0" w:type="dxa"/>
            </w:tcMar>
            <w:vAlign w:val="center"/>
          </w:tcPr>
          <w:p w14:paraId="3716C1D1" w14:textId="77777777" w:rsidR="00807083" w:rsidRDefault="008A23A1">
            <w:pPr>
              <w:keepNext/>
              <w:keepLines/>
              <w:spacing w:after="0" w:line="240" w:lineRule="auto"/>
            </w:pPr>
            <w:r>
              <w:rPr>
                <w:sz w:val="18"/>
              </w:rPr>
              <w:t>991</w:t>
            </w:r>
          </w:p>
        </w:tc>
        <w:tc>
          <w:tcPr>
            <w:tcW w:w="3180" w:type="dxa"/>
            <w:tcMar>
              <w:top w:w="0" w:type="dxa"/>
              <w:bottom w:w="0" w:type="dxa"/>
            </w:tcMar>
            <w:vAlign w:val="center"/>
          </w:tcPr>
          <w:p w14:paraId="7F1649BC" w14:textId="77777777" w:rsidR="00807083" w:rsidRDefault="008A23A1">
            <w:pPr>
              <w:keepNext/>
              <w:keepLines/>
              <w:spacing w:after="0" w:line="240" w:lineRule="auto"/>
            </w:pPr>
            <w:r>
              <w:rPr>
                <w:sz w:val="18"/>
              </w:rPr>
              <w:t>Izvanbilančni zapisi - aktiva (šifra 996)</w:t>
            </w:r>
          </w:p>
        </w:tc>
        <w:tc>
          <w:tcPr>
            <w:tcW w:w="700" w:type="dxa"/>
            <w:tcMar>
              <w:top w:w="0" w:type="dxa"/>
              <w:bottom w:w="0" w:type="dxa"/>
            </w:tcMar>
            <w:vAlign w:val="center"/>
          </w:tcPr>
          <w:p w14:paraId="1517B732" w14:textId="77777777" w:rsidR="00807083" w:rsidRDefault="008A23A1">
            <w:pPr>
              <w:keepNext/>
              <w:keepLines/>
              <w:spacing w:after="0" w:line="240" w:lineRule="auto"/>
            </w:pPr>
            <w:r>
              <w:rPr>
                <w:sz w:val="18"/>
              </w:rPr>
              <w:t>991</w:t>
            </w:r>
          </w:p>
        </w:tc>
        <w:tc>
          <w:tcPr>
            <w:tcW w:w="1860" w:type="dxa"/>
            <w:tcMar>
              <w:top w:w="0" w:type="dxa"/>
              <w:bottom w:w="0" w:type="dxa"/>
            </w:tcMar>
            <w:vAlign w:val="center"/>
          </w:tcPr>
          <w:p w14:paraId="49DBC36B" w14:textId="77777777" w:rsidR="00807083" w:rsidRDefault="008A23A1">
            <w:pPr>
              <w:keepNext/>
              <w:keepLines/>
              <w:spacing w:after="0" w:line="240" w:lineRule="auto"/>
              <w:jc w:val="right"/>
            </w:pPr>
            <w:r>
              <w:rPr>
                <w:sz w:val="18"/>
              </w:rPr>
              <w:t>5.797.185,70</w:t>
            </w:r>
          </w:p>
        </w:tc>
        <w:tc>
          <w:tcPr>
            <w:tcW w:w="1860" w:type="dxa"/>
            <w:tcMar>
              <w:top w:w="0" w:type="dxa"/>
              <w:bottom w:w="0" w:type="dxa"/>
            </w:tcMar>
            <w:vAlign w:val="center"/>
          </w:tcPr>
          <w:p w14:paraId="0EE4B9F0" w14:textId="77777777" w:rsidR="00807083" w:rsidRDefault="008A23A1">
            <w:pPr>
              <w:keepNext/>
              <w:keepLines/>
              <w:spacing w:after="0" w:line="240" w:lineRule="auto"/>
              <w:jc w:val="right"/>
            </w:pPr>
            <w:r>
              <w:rPr>
                <w:sz w:val="18"/>
              </w:rPr>
              <w:t>129.358.016,89</w:t>
            </w:r>
          </w:p>
        </w:tc>
        <w:tc>
          <w:tcPr>
            <w:tcW w:w="700" w:type="dxa"/>
            <w:tcMar>
              <w:top w:w="0" w:type="dxa"/>
              <w:bottom w:w="0" w:type="dxa"/>
            </w:tcMar>
            <w:vAlign w:val="center"/>
          </w:tcPr>
          <w:p w14:paraId="77BDEC66" w14:textId="77777777" w:rsidR="00807083" w:rsidRDefault="008A23A1">
            <w:pPr>
              <w:keepNext/>
              <w:keepLines/>
              <w:spacing w:after="0" w:line="240" w:lineRule="auto"/>
              <w:jc w:val="right"/>
            </w:pPr>
            <w:r>
              <w:rPr>
                <w:sz w:val="18"/>
              </w:rPr>
              <w:t>2231,4</w:t>
            </w:r>
          </w:p>
        </w:tc>
      </w:tr>
    </w:tbl>
    <w:p w14:paraId="74A1FCC3" w14:textId="77777777" w:rsidR="00807083" w:rsidRDefault="00807083">
      <w:pPr>
        <w:spacing w:after="0"/>
      </w:pPr>
    </w:p>
    <w:p w14:paraId="056AAC65" w14:textId="77777777" w:rsidR="00807083" w:rsidRDefault="008A23A1">
      <w:r>
        <w:t>Pozicija bilježi značajno povećanje u odnosu na 2024. godinu. Ministarstvo financija je u svibnju 2025. godine donijelo Uputu za računovodstveno evidentiranje sredstava Europske unije, kojom su uređena pravila i način vođenja računovodstvenih evidencija EU sredstava. Sukladno navedenoj Uputi, provedena je obvezna izvanbilančna evidencija ukupno ugovorenih obveza temeljem potpisanih ugovora o dodjeli bespovratnih sredstava i/ili Odluka o dodjeli bespovratnih sredstava, kao i njihove realizacije temeljem podn</w:t>
      </w:r>
      <w:r>
        <w:t>esenih zahtjeva za nadoknadu sredstava (ZNS).</w:t>
      </w:r>
    </w:p>
    <w:p w14:paraId="6864535D" w14:textId="77777777" w:rsidR="00807083" w:rsidRDefault="008A23A1">
      <w:r>
        <w:t>Nadalje, Pravilnikom o proračunskom računovodstvu propisano je da se od 1. siječnja 2025. godine obvezno vodi evidencija o preuzetim obvezama po ugovorima o nabavi roba, radova i usluga, koja se također evidentira na navedenoj poziciji.</w:t>
      </w:r>
    </w:p>
    <w:p w14:paraId="6BDF0B39" w14:textId="77777777" w:rsidR="00807083" w:rsidRDefault="008A23A1">
      <w:r>
        <w:t>Na izvanbilančnim evidencijama CARNET je dodatno iskazao potencijalne obveze po osnovi radnih sporova te primljene bankarske garancije.</w:t>
      </w:r>
    </w:p>
    <w:p w14:paraId="66BE6DE2" w14:textId="77777777" w:rsidR="00807083" w:rsidRDefault="00807083"/>
    <w:p w14:paraId="328A71C3" w14:textId="77777777" w:rsidR="00807083" w:rsidRDefault="008A23A1">
      <w:pPr>
        <w:keepNext/>
        <w:spacing w:line="240" w:lineRule="auto"/>
        <w:jc w:val="center"/>
      </w:pPr>
      <w:r>
        <w:rPr>
          <w:b/>
          <w:sz w:val="28"/>
        </w:rPr>
        <w:t>Promjene u vrijednosti i obujmu imovine i obveza</w:t>
      </w:r>
    </w:p>
    <w:p w14:paraId="043B0695" w14:textId="77777777" w:rsidR="00807083" w:rsidRDefault="008A23A1">
      <w:pPr>
        <w:keepNext/>
        <w:spacing w:line="240" w:lineRule="auto"/>
        <w:jc w:val="center"/>
      </w:pPr>
      <w:r>
        <w:rPr>
          <w:sz w:val="28"/>
        </w:rPr>
        <w:t>Bilješka 33.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807083" w14:paraId="6D0D2F7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7783334"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951511F"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FA1D613"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E9E5923" w14:textId="77777777" w:rsidR="00807083" w:rsidRDefault="008A23A1">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2BCE836F" w14:textId="77777777" w:rsidR="00807083" w:rsidRDefault="008A23A1">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2C950C7F" w14:textId="77777777" w:rsidR="00807083" w:rsidRDefault="008A23A1">
            <w:pPr>
              <w:keepNext/>
              <w:keepLines/>
              <w:spacing w:after="0" w:line="240" w:lineRule="auto"/>
              <w:jc w:val="center"/>
            </w:pPr>
            <w:r>
              <w:rPr>
                <w:b/>
                <w:sz w:val="18"/>
              </w:rPr>
              <w:t>Indeks (%)</w:t>
            </w:r>
          </w:p>
        </w:tc>
      </w:tr>
      <w:tr w:rsidR="00807083" w14:paraId="07455DD6" w14:textId="77777777">
        <w:tblPrEx>
          <w:tblCellMar>
            <w:top w:w="0" w:type="dxa"/>
            <w:bottom w:w="0" w:type="dxa"/>
          </w:tblCellMar>
        </w:tblPrEx>
        <w:trPr>
          <w:cantSplit/>
          <w:trHeight w:val="560"/>
        </w:trPr>
        <w:tc>
          <w:tcPr>
            <w:tcW w:w="700" w:type="dxa"/>
            <w:tcMar>
              <w:top w:w="0" w:type="dxa"/>
              <w:bottom w:w="0" w:type="dxa"/>
            </w:tcMar>
            <w:vAlign w:val="center"/>
          </w:tcPr>
          <w:p w14:paraId="2DE1CA95" w14:textId="77777777" w:rsidR="00807083" w:rsidRDefault="008A23A1">
            <w:pPr>
              <w:keepNext/>
              <w:keepLines/>
              <w:spacing w:after="0" w:line="240" w:lineRule="auto"/>
            </w:pPr>
            <w:r>
              <w:rPr>
                <w:sz w:val="18"/>
              </w:rPr>
              <w:t>9151</w:t>
            </w:r>
          </w:p>
        </w:tc>
        <w:tc>
          <w:tcPr>
            <w:tcW w:w="3180" w:type="dxa"/>
            <w:tcMar>
              <w:top w:w="0" w:type="dxa"/>
              <w:bottom w:w="0" w:type="dxa"/>
            </w:tcMar>
            <w:vAlign w:val="center"/>
          </w:tcPr>
          <w:p w14:paraId="4A258960" w14:textId="77777777" w:rsidR="00807083" w:rsidRDefault="008A23A1">
            <w:pPr>
              <w:keepNext/>
              <w:keepLines/>
              <w:spacing w:after="0" w:line="240" w:lineRule="auto"/>
            </w:pPr>
            <w:r>
              <w:rPr>
                <w:sz w:val="18"/>
              </w:rPr>
              <w:t>Promjene u vrijednosti i obujmu imovine (šifre 91511+91512)</w:t>
            </w:r>
          </w:p>
        </w:tc>
        <w:tc>
          <w:tcPr>
            <w:tcW w:w="700" w:type="dxa"/>
            <w:tcMar>
              <w:top w:w="0" w:type="dxa"/>
              <w:bottom w:w="0" w:type="dxa"/>
            </w:tcMar>
            <w:vAlign w:val="center"/>
          </w:tcPr>
          <w:p w14:paraId="1D13FA26" w14:textId="77777777" w:rsidR="00807083" w:rsidRDefault="008A23A1">
            <w:pPr>
              <w:keepNext/>
              <w:keepLines/>
              <w:spacing w:after="0" w:line="240" w:lineRule="auto"/>
            </w:pPr>
            <w:r>
              <w:rPr>
                <w:sz w:val="18"/>
              </w:rPr>
              <w:t>9151</w:t>
            </w:r>
          </w:p>
        </w:tc>
        <w:tc>
          <w:tcPr>
            <w:tcW w:w="1860" w:type="dxa"/>
            <w:tcMar>
              <w:top w:w="0" w:type="dxa"/>
              <w:bottom w:w="0" w:type="dxa"/>
            </w:tcMar>
            <w:vAlign w:val="center"/>
          </w:tcPr>
          <w:p w14:paraId="22704837" w14:textId="77777777" w:rsidR="00807083" w:rsidRDefault="008A23A1">
            <w:pPr>
              <w:keepNext/>
              <w:keepLines/>
              <w:spacing w:after="0" w:line="240" w:lineRule="auto"/>
              <w:jc w:val="right"/>
            </w:pPr>
            <w:r>
              <w:rPr>
                <w:sz w:val="18"/>
              </w:rPr>
              <w:t>0,00</w:t>
            </w:r>
          </w:p>
        </w:tc>
        <w:tc>
          <w:tcPr>
            <w:tcW w:w="1860" w:type="dxa"/>
            <w:tcMar>
              <w:top w:w="0" w:type="dxa"/>
              <w:bottom w:w="0" w:type="dxa"/>
            </w:tcMar>
            <w:vAlign w:val="center"/>
          </w:tcPr>
          <w:p w14:paraId="488F399A" w14:textId="77777777" w:rsidR="00807083" w:rsidRDefault="008A23A1">
            <w:pPr>
              <w:keepNext/>
              <w:keepLines/>
              <w:spacing w:after="0" w:line="240" w:lineRule="auto"/>
              <w:jc w:val="right"/>
            </w:pPr>
            <w:r>
              <w:rPr>
                <w:sz w:val="18"/>
              </w:rPr>
              <w:t>6.218.721,97</w:t>
            </w:r>
          </w:p>
        </w:tc>
        <w:tc>
          <w:tcPr>
            <w:tcW w:w="700" w:type="dxa"/>
            <w:tcMar>
              <w:top w:w="0" w:type="dxa"/>
              <w:bottom w:w="0" w:type="dxa"/>
            </w:tcMar>
            <w:vAlign w:val="center"/>
          </w:tcPr>
          <w:p w14:paraId="39A197B2" w14:textId="77777777" w:rsidR="00807083" w:rsidRDefault="008A23A1">
            <w:pPr>
              <w:keepNext/>
              <w:keepLines/>
              <w:spacing w:after="0" w:line="240" w:lineRule="auto"/>
              <w:jc w:val="right"/>
            </w:pPr>
            <w:r>
              <w:rPr>
                <w:sz w:val="18"/>
              </w:rPr>
              <w:t>-</w:t>
            </w:r>
          </w:p>
        </w:tc>
      </w:tr>
    </w:tbl>
    <w:p w14:paraId="0B2D89E0" w14:textId="77777777" w:rsidR="00807083" w:rsidRDefault="00807083">
      <w:pPr>
        <w:spacing w:after="0"/>
      </w:pPr>
    </w:p>
    <w:p w14:paraId="6D0F1384" w14:textId="77777777" w:rsidR="00807083" w:rsidRDefault="008A23A1">
      <w:r>
        <w:lastRenderedPageBreak/>
        <w:t>U izvještaju o promjenama u vrijednosti i obujmu imovine i obveza je pod šifrom 91512 došlo do smanjenja u iznosu od 6.218.721,97 EUR. Do smanjenja na navedenoj poziciji dolazi zbog nove metodologije evidentiranja ispravka vrijednosti, te rashoda i donacije imovine.</w:t>
      </w:r>
    </w:p>
    <w:p w14:paraId="766C912E" w14:textId="77777777" w:rsidR="00807083" w:rsidRDefault="00807083"/>
    <w:p w14:paraId="3E0A9702" w14:textId="77777777" w:rsidR="00807083" w:rsidRDefault="008A23A1">
      <w:pPr>
        <w:keepNext/>
        <w:spacing w:line="240" w:lineRule="auto"/>
        <w:jc w:val="center"/>
      </w:pPr>
      <w:r>
        <w:rPr>
          <w:b/>
          <w:sz w:val="28"/>
        </w:rPr>
        <w:t>Izvještaj o obvezama</w:t>
      </w:r>
    </w:p>
    <w:p w14:paraId="375006F6" w14:textId="77777777" w:rsidR="00807083" w:rsidRDefault="008A23A1">
      <w:pPr>
        <w:keepNext/>
        <w:spacing w:line="240" w:lineRule="auto"/>
        <w:jc w:val="center"/>
      </w:pPr>
      <w:r>
        <w:rPr>
          <w:sz w:val="28"/>
        </w:rPr>
        <w:t>Bilješka 34.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883"/>
        <w:gridCol w:w="4008"/>
        <w:gridCol w:w="882"/>
        <w:gridCol w:w="2345"/>
        <w:gridCol w:w="882"/>
      </w:tblGrid>
      <w:tr w:rsidR="00807083" w14:paraId="0E16EA6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427E00A"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8CA9CD9"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FF01A07"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9237FA4" w14:textId="77777777" w:rsidR="00807083" w:rsidRDefault="008A23A1">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11E4B596" w14:textId="77777777" w:rsidR="00807083" w:rsidRDefault="008A23A1">
            <w:pPr>
              <w:keepNext/>
              <w:keepLines/>
              <w:spacing w:after="0" w:line="240" w:lineRule="auto"/>
              <w:jc w:val="center"/>
            </w:pPr>
            <w:r>
              <w:rPr>
                <w:b/>
                <w:sz w:val="18"/>
              </w:rPr>
              <w:t>Indeks (%)</w:t>
            </w:r>
          </w:p>
        </w:tc>
      </w:tr>
      <w:tr w:rsidR="00807083" w14:paraId="2120150B" w14:textId="77777777">
        <w:tblPrEx>
          <w:tblCellMar>
            <w:top w:w="0" w:type="dxa"/>
            <w:bottom w:w="0" w:type="dxa"/>
          </w:tblCellMar>
        </w:tblPrEx>
        <w:trPr>
          <w:cantSplit/>
          <w:trHeight w:val="560"/>
        </w:trPr>
        <w:tc>
          <w:tcPr>
            <w:tcW w:w="700" w:type="dxa"/>
            <w:tcMar>
              <w:top w:w="0" w:type="dxa"/>
              <w:bottom w:w="0" w:type="dxa"/>
            </w:tcMar>
            <w:vAlign w:val="center"/>
          </w:tcPr>
          <w:p w14:paraId="202B19A8" w14:textId="77777777" w:rsidR="00807083" w:rsidRDefault="00807083">
            <w:pPr>
              <w:keepNext/>
              <w:keepLines/>
              <w:spacing w:after="0" w:line="240" w:lineRule="auto"/>
            </w:pPr>
          </w:p>
        </w:tc>
        <w:tc>
          <w:tcPr>
            <w:tcW w:w="3180" w:type="dxa"/>
            <w:tcMar>
              <w:top w:w="0" w:type="dxa"/>
              <w:bottom w:w="0" w:type="dxa"/>
            </w:tcMar>
            <w:vAlign w:val="center"/>
          </w:tcPr>
          <w:p w14:paraId="30840A43" w14:textId="77777777" w:rsidR="00807083" w:rsidRDefault="008A23A1">
            <w:pPr>
              <w:keepNext/>
              <w:keepLines/>
              <w:spacing w:after="0" w:line="240" w:lineRule="auto"/>
            </w:pPr>
            <w:r>
              <w:rPr>
                <w:sz w:val="18"/>
              </w:rPr>
              <w:t>Stanje obveza na kraju izvještajnog razdoblja (šifre V001+V002-V004) i (šifre V007+V009)</w:t>
            </w:r>
          </w:p>
        </w:tc>
        <w:tc>
          <w:tcPr>
            <w:tcW w:w="700" w:type="dxa"/>
            <w:tcMar>
              <w:top w:w="0" w:type="dxa"/>
              <w:bottom w:w="0" w:type="dxa"/>
            </w:tcMar>
            <w:vAlign w:val="center"/>
          </w:tcPr>
          <w:p w14:paraId="548A8A13" w14:textId="77777777" w:rsidR="00807083" w:rsidRDefault="008A23A1">
            <w:pPr>
              <w:keepNext/>
              <w:keepLines/>
              <w:spacing w:after="0" w:line="240" w:lineRule="auto"/>
            </w:pPr>
            <w:r>
              <w:rPr>
                <w:sz w:val="18"/>
              </w:rPr>
              <w:t>V006</w:t>
            </w:r>
          </w:p>
        </w:tc>
        <w:tc>
          <w:tcPr>
            <w:tcW w:w="1860" w:type="dxa"/>
            <w:tcMar>
              <w:top w:w="0" w:type="dxa"/>
              <w:bottom w:w="0" w:type="dxa"/>
            </w:tcMar>
            <w:vAlign w:val="center"/>
          </w:tcPr>
          <w:p w14:paraId="61DFDDA8" w14:textId="77777777" w:rsidR="00807083" w:rsidRDefault="008A23A1">
            <w:pPr>
              <w:keepNext/>
              <w:keepLines/>
              <w:spacing w:after="0" w:line="240" w:lineRule="auto"/>
              <w:jc w:val="right"/>
            </w:pPr>
            <w:r>
              <w:rPr>
                <w:sz w:val="18"/>
              </w:rPr>
              <w:t>7.908.750,13</w:t>
            </w:r>
          </w:p>
        </w:tc>
        <w:tc>
          <w:tcPr>
            <w:tcW w:w="700" w:type="dxa"/>
            <w:tcMar>
              <w:top w:w="0" w:type="dxa"/>
              <w:bottom w:w="0" w:type="dxa"/>
            </w:tcMar>
            <w:vAlign w:val="center"/>
          </w:tcPr>
          <w:p w14:paraId="64475F4E" w14:textId="77777777" w:rsidR="00807083" w:rsidRDefault="008A23A1">
            <w:pPr>
              <w:keepNext/>
              <w:keepLines/>
              <w:spacing w:after="0" w:line="240" w:lineRule="auto"/>
              <w:jc w:val="right"/>
            </w:pPr>
            <w:r>
              <w:rPr>
                <w:sz w:val="18"/>
              </w:rPr>
              <w:t>-</w:t>
            </w:r>
          </w:p>
        </w:tc>
      </w:tr>
    </w:tbl>
    <w:p w14:paraId="66D41B70" w14:textId="77777777" w:rsidR="00807083" w:rsidRDefault="00807083">
      <w:pPr>
        <w:spacing w:after="0"/>
      </w:pPr>
    </w:p>
    <w:p w14:paraId="722D8CB9" w14:textId="77777777" w:rsidR="00807083" w:rsidRDefault="008A23A1">
      <w:r>
        <w:t>Stanje obveza na kraju izvještajnog obveza odnosi se na saldo obveza na dan 30.12.2025., odnosno na plaću za prosinac 2025., na fakture koje su pristigle do dana predaje izvještaja te su po nastanku događaja knjižene u prosincu 2025., na obveze za jamčevne pologe, obveze za PDV i obveze za povrat u proračun za bolovanje HZZO, te na predujam za projekt „Uspostava nacionalnog koordinacijskog središta za industriju, tehnologiju i istraživanja u području kibernetičke sigurnosti“.</w:t>
      </w:r>
    </w:p>
    <w:p w14:paraId="587C8AC5" w14:textId="77777777" w:rsidR="00807083" w:rsidRDefault="00807083"/>
    <w:p w14:paraId="3CE48142" w14:textId="77777777" w:rsidR="00807083" w:rsidRDefault="008A23A1">
      <w:pPr>
        <w:keepNext/>
        <w:spacing w:line="240" w:lineRule="auto"/>
        <w:jc w:val="center"/>
      </w:pPr>
      <w:r>
        <w:rPr>
          <w:sz w:val="28"/>
        </w:rPr>
        <w:t>Bilješka 35.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883"/>
        <w:gridCol w:w="4008"/>
        <w:gridCol w:w="882"/>
        <w:gridCol w:w="2345"/>
        <w:gridCol w:w="882"/>
      </w:tblGrid>
      <w:tr w:rsidR="00807083" w14:paraId="6C26AB1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53F84B7" w14:textId="77777777" w:rsidR="00807083" w:rsidRDefault="008A23A1">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0D31BC1" w14:textId="77777777" w:rsidR="00807083" w:rsidRDefault="008A23A1">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DDC623B" w14:textId="77777777" w:rsidR="00807083" w:rsidRDefault="008A23A1">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AB11DDD" w14:textId="77777777" w:rsidR="00807083" w:rsidRDefault="008A23A1">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57D39C79" w14:textId="77777777" w:rsidR="00807083" w:rsidRDefault="008A23A1">
            <w:pPr>
              <w:keepNext/>
              <w:keepLines/>
              <w:spacing w:after="0" w:line="240" w:lineRule="auto"/>
              <w:jc w:val="center"/>
            </w:pPr>
            <w:r>
              <w:rPr>
                <w:b/>
                <w:sz w:val="18"/>
              </w:rPr>
              <w:t>Indeks (%)</w:t>
            </w:r>
          </w:p>
        </w:tc>
      </w:tr>
      <w:tr w:rsidR="00807083" w14:paraId="724AB4A1" w14:textId="77777777">
        <w:tblPrEx>
          <w:tblCellMar>
            <w:top w:w="0" w:type="dxa"/>
            <w:bottom w:w="0" w:type="dxa"/>
          </w:tblCellMar>
        </w:tblPrEx>
        <w:trPr>
          <w:cantSplit/>
          <w:trHeight w:val="560"/>
        </w:trPr>
        <w:tc>
          <w:tcPr>
            <w:tcW w:w="700" w:type="dxa"/>
            <w:tcMar>
              <w:top w:w="0" w:type="dxa"/>
              <w:bottom w:w="0" w:type="dxa"/>
            </w:tcMar>
            <w:vAlign w:val="center"/>
          </w:tcPr>
          <w:p w14:paraId="227E8918" w14:textId="77777777" w:rsidR="00807083" w:rsidRDefault="00807083">
            <w:pPr>
              <w:keepNext/>
              <w:keepLines/>
              <w:spacing w:after="0" w:line="240" w:lineRule="auto"/>
            </w:pPr>
          </w:p>
        </w:tc>
        <w:tc>
          <w:tcPr>
            <w:tcW w:w="3180" w:type="dxa"/>
            <w:tcMar>
              <w:top w:w="0" w:type="dxa"/>
              <w:bottom w:w="0" w:type="dxa"/>
            </w:tcMar>
            <w:vAlign w:val="center"/>
          </w:tcPr>
          <w:p w14:paraId="6B5E1B62" w14:textId="77777777" w:rsidR="00807083" w:rsidRDefault="008A23A1">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14:paraId="144D6B40" w14:textId="77777777" w:rsidR="00807083" w:rsidRDefault="008A23A1">
            <w:pPr>
              <w:keepNext/>
              <w:keepLines/>
              <w:spacing w:after="0" w:line="240" w:lineRule="auto"/>
            </w:pPr>
            <w:r>
              <w:rPr>
                <w:sz w:val="18"/>
              </w:rPr>
              <w:t>V007</w:t>
            </w:r>
          </w:p>
        </w:tc>
        <w:tc>
          <w:tcPr>
            <w:tcW w:w="1860" w:type="dxa"/>
            <w:tcMar>
              <w:top w:w="0" w:type="dxa"/>
              <w:bottom w:w="0" w:type="dxa"/>
            </w:tcMar>
            <w:vAlign w:val="center"/>
          </w:tcPr>
          <w:p w14:paraId="79183869" w14:textId="77777777" w:rsidR="00807083" w:rsidRDefault="008A23A1">
            <w:pPr>
              <w:keepNext/>
              <w:keepLines/>
              <w:spacing w:after="0" w:line="240" w:lineRule="auto"/>
              <w:jc w:val="right"/>
            </w:pPr>
            <w:r>
              <w:rPr>
                <w:sz w:val="18"/>
              </w:rPr>
              <w:t>0,00</w:t>
            </w:r>
          </w:p>
        </w:tc>
        <w:tc>
          <w:tcPr>
            <w:tcW w:w="700" w:type="dxa"/>
            <w:tcMar>
              <w:top w:w="0" w:type="dxa"/>
              <w:bottom w:w="0" w:type="dxa"/>
            </w:tcMar>
            <w:vAlign w:val="center"/>
          </w:tcPr>
          <w:p w14:paraId="3138FCE5" w14:textId="77777777" w:rsidR="00807083" w:rsidRDefault="008A23A1">
            <w:pPr>
              <w:keepNext/>
              <w:keepLines/>
              <w:spacing w:after="0" w:line="240" w:lineRule="auto"/>
              <w:jc w:val="right"/>
            </w:pPr>
            <w:r>
              <w:rPr>
                <w:sz w:val="18"/>
              </w:rPr>
              <w:t>-</w:t>
            </w:r>
          </w:p>
        </w:tc>
      </w:tr>
    </w:tbl>
    <w:p w14:paraId="370083B8" w14:textId="77777777" w:rsidR="00807083" w:rsidRDefault="00807083">
      <w:pPr>
        <w:spacing w:after="0"/>
      </w:pPr>
    </w:p>
    <w:p w14:paraId="29C9EDCE" w14:textId="77777777" w:rsidR="00807083" w:rsidRDefault="008A23A1">
      <w:r>
        <w:t>Na dan 31.12 2025. nema dospjelih obveza.</w:t>
      </w:r>
    </w:p>
    <w:p w14:paraId="42B4C802" w14:textId="77777777" w:rsidR="00807083" w:rsidRDefault="00807083"/>
    <w:p w14:paraId="2C69DC34" w14:textId="77777777" w:rsidR="00807083" w:rsidRDefault="008A23A1">
      <w:pPr>
        <w:keepNext/>
        <w:spacing w:line="240" w:lineRule="auto"/>
        <w:jc w:val="center"/>
      </w:pPr>
      <w:r>
        <w:rPr>
          <w:sz w:val="28"/>
        </w:rPr>
        <w:t>Bilješka 36.</w:t>
      </w:r>
    </w:p>
    <w:p w14:paraId="74318ACF" w14:textId="77777777" w:rsidR="00807083" w:rsidRDefault="008A23A1">
      <w:pPr>
        <w:spacing w:line="240" w:lineRule="auto"/>
        <w:jc w:val="both"/>
      </w:pPr>
      <w:r>
        <w:rPr>
          <w:b/>
        </w:rPr>
        <w:t>EU izvještaj</w:t>
      </w:r>
    </w:p>
    <w:p w14:paraId="2BA711D3" w14:textId="77777777" w:rsidR="00807083" w:rsidRDefault="008A23A1">
      <w:r>
        <w:t>U izvještajnom razdoblju prvi put su evidentirani EU projekti, stoga ne postoje usporedni podaci za prethodno razdoblje. Iz navedenog razloga nije moguće iskazati razloge značajnijih promjena u odnosu na prethodnu godinu.</w:t>
      </w:r>
    </w:p>
    <w:p w14:paraId="43639169" w14:textId="77777777" w:rsidR="00807083" w:rsidRDefault="00807083"/>
    <w:sectPr w:rsidR="008070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083"/>
    <w:rsid w:val="006632F5"/>
    <w:rsid w:val="00807083"/>
    <w:rsid w:val="008A2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A5AE"/>
  <w15:docId w15:val="{8D834C60-392D-4968-8F90-0CAF57171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hr-HR" w:eastAsia="hr-H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3764</Words>
  <Characters>21458</Characters>
  <Application>Microsoft Office Word</Application>
  <DocSecurity>0</DocSecurity>
  <Lines>178</Lines>
  <Paragraphs>50</Paragraphs>
  <ScaleCrop>false</ScaleCrop>
  <Company/>
  <LinksUpToDate>false</LinksUpToDate>
  <CharactersWithSpaces>25172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Zrinka Grizelj</dc:creator>
  <cp:lastModifiedBy>Zrinka Grizelj</cp:lastModifiedBy>
  <cp:revision>2</cp:revision>
  <dcterms:created xsi:type="dcterms:W3CDTF">2026-01-30T14:25:00Z</dcterms:created>
  <dcterms:modified xsi:type="dcterms:W3CDTF">2026-01-30T14:25:00Z</dcterms:modified>
</cp:coreProperties>
</file>